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01BDF" w14:textId="77777777" w:rsidR="00905513" w:rsidRDefault="00905513" w:rsidP="00905513"/>
    <w:p w14:paraId="68B6B5D8" w14:textId="091A41EF" w:rsidR="002338AB" w:rsidRPr="00AD0DC4" w:rsidRDefault="007C19B7" w:rsidP="00BE22FF">
      <w:pPr>
        <w:spacing w:after="120"/>
        <w:jc w:val="center"/>
        <w:rPr>
          <w:b/>
        </w:rPr>
      </w:pPr>
      <w:r w:rsidRPr="00AD0DC4">
        <w:rPr>
          <w:b/>
        </w:rPr>
        <w:t>Sexualité et foi chrétienne, q</w:t>
      </w:r>
      <w:r w:rsidR="00543B77" w:rsidRPr="00AD0DC4">
        <w:rPr>
          <w:b/>
        </w:rPr>
        <w:t>uelques r</w:t>
      </w:r>
      <w:r w:rsidR="00905513" w:rsidRPr="00AD0DC4">
        <w:rPr>
          <w:b/>
        </w:rPr>
        <w:t xml:space="preserve">epères </w:t>
      </w:r>
    </w:p>
    <w:p w14:paraId="32324D5A" w14:textId="4EF332EE" w:rsidR="002338AB" w:rsidRDefault="00AD0DC4" w:rsidP="00BE22FF">
      <w:pPr>
        <w:spacing w:after="120"/>
      </w:pPr>
      <w:r>
        <w:t xml:space="preserve">Le </w:t>
      </w:r>
      <w:r w:rsidR="002338AB">
        <w:t>« </w:t>
      </w:r>
      <w:r>
        <w:t>c</w:t>
      </w:r>
      <w:r w:rsidR="002338AB" w:rsidRPr="002338AB">
        <w:t>onstat, aujourd’hui partagé par-delà les différences confessionnelles, qu’il manque une véritable théologie chrétienne de la sexualité accordée à l’évolution des mœurs que l’on observe depuis des décennies</w:t>
      </w:r>
      <w:r w:rsidR="002338AB">
        <w:t>»</w:t>
      </w:r>
      <w:r w:rsidR="002338AB" w:rsidRPr="002338AB">
        <w:t>.</w:t>
      </w:r>
      <w:r>
        <w:t xml:space="preserve"> (</w:t>
      </w:r>
      <w:r w:rsidRPr="002338AB">
        <w:rPr>
          <w:sz w:val="20"/>
          <w:szCs w:val="20"/>
        </w:rPr>
        <w:t>Philippe Bordeyne, « L’église catholique en travail de discernement face aux unions homosexuelles », Transvers</w:t>
      </w:r>
      <w:r w:rsidR="00AA6ED6">
        <w:rPr>
          <w:sz w:val="20"/>
          <w:szCs w:val="20"/>
        </w:rPr>
        <w:t xml:space="preserve">alités, 2021/2 n° 157, </w:t>
      </w:r>
      <w:r>
        <w:rPr>
          <w:sz w:val="20"/>
          <w:szCs w:val="20"/>
        </w:rPr>
        <w:t>p98)</w:t>
      </w:r>
    </w:p>
    <w:p w14:paraId="05E54578" w14:textId="77777777" w:rsidR="00AD0DC4" w:rsidRDefault="009932DB" w:rsidP="00AD0DC4">
      <w:pPr>
        <w:jc w:val="both"/>
        <w:rPr>
          <w:b/>
        </w:rPr>
      </w:pPr>
      <w:r>
        <w:rPr>
          <w:b/>
        </w:rPr>
        <w:t xml:space="preserve">1. </w:t>
      </w:r>
      <w:r w:rsidR="00AD0DC4">
        <w:rPr>
          <w:b/>
        </w:rPr>
        <w:t xml:space="preserve">1. De quoi parlons-nous : quelques précisions </w:t>
      </w:r>
    </w:p>
    <w:p w14:paraId="47A6AD6A" w14:textId="77777777" w:rsidR="00AD0DC4" w:rsidRPr="005C2389" w:rsidRDefault="00AD0DC4" w:rsidP="00AD0DC4">
      <w:pPr>
        <w:jc w:val="both"/>
        <w:rPr>
          <w:b/>
        </w:rPr>
      </w:pPr>
      <w:r>
        <w:rPr>
          <w:b/>
        </w:rPr>
        <w:t>Sexe, sexualité et genre : des enjeux pour l’humanisation</w:t>
      </w:r>
    </w:p>
    <w:p w14:paraId="60578469" w14:textId="77777777" w:rsidR="00AD0DC4" w:rsidRPr="00F71019" w:rsidRDefault="00AD0DC4" w:rsidP="00AD0DC4">
      <w:pPr>
        <w:jc w:val="both"/>
        <w:rPr>
          <w:b/>
        </w:rPr>
      </w:pPr>
      <w:r w:rsidRPr="00F71019">
        <w:rPr>
          <w:b/>
        </w:rPr>
        <w:t>1.1. Sexualité une notion large</w:t>
      </w:r>
    </w:p>
    <w:p w14:paraId="190FE994" w14:textId="3BBC9799" w:rsidR="00E12D2B" w:rsidRDefault="00AA6ED6" w:rsidP="009932DB">
      <w:pPr>
        <w:jc w:val="both"/>
      </w:pPr>
      <w:r>
        <w:t>Ne se limite</w:t>
      </w:r>
      <w:r w:rsidR="00E12D2B">
        <w:t xml:space="preserve"> pas à la génitalité </w:t>
      </w:r>
    </w:p>
    <w:p w14:paraId="26563D2D" w14:textId="12808964" w:rsidR="009932DB" w:rsidRDefault="009932DB" w:rsidP="009932DB">
      <w:pPr>
        <w:jc w:val="both"/>
      </w:pPr>
      <w:r>
        <w:t xml:space="preserve">Renvoie au fait d’être sexué (cf. </w:t>
      </w:r>
      <w:r w:rsidRPr="00E8372D">
        <w:t xml:space="preserve">chromosomes, anatomie, hormones). </w:t>
      </w:r>
    </w:p>
    <w:p w14:paraId="5575B738" w14:textId="544DB097" w:rsidR="009932DB" w:rsidRDefault="009932DB" w:rsidP="009932DB">
      <w:pPr>
        <w:jc w:val="both"/>
      </w:pPr>
      <w:r>
        <w:t>Désigne des tendances, des activités, des pratiques liées au sexe,</w:t>
      </w:r>
      <w:r w:rsidR="00E12D2B">
        <w:t xml:space="preserve"> </w:t>
      </w:r>
      <w:r>
        <w:t>vers la recherche de plaisir, la relation, l’accomplissement de la personne, la dimension procréative</w:t>
      </w:r>
    </w:p>
    <w:p w14:paraId="2002D150" w14:textId="08632483" w:rsidR="009932DB" w:rsidRDefault="009932DB" w:rsidP="009932DB">
      <w:pPr>
        <w:jc w:val="both"/>
      </w:pPr>
      <w:r>
        <w:t>La sexualité a des</w:t>
      </w:r>
      <w:r w:rsidRPr="00D82813">
        <w:t xml:space="preserve"> </w:t>
      </w:r>
      <w:r w:rsidR="00BE22FF">
        <w:t>dim.</w:t>
      </w:r>
      <w:r w:rsidR="00E12D2B">
        <w:t xml:space="preserve"> plurielles :</w:t>
      </w:r>
      <w:r>
        <w:t xml:space="preserve"> </w:t>
      </w:r>
      <w:r w:rsidR="00AD0DC4">
        <w:t xml:space="preserve">la mise en relation,  l’appartenance mutuelle, la transmission de la vie </w:t>
      </w:r>
    </w:p>
    <w:p w14:paraId="12A172D0" w14:textId="3AF87895" w:rsidR="009932DB" w:rsidRDefault="009932DB" w:rsidP="00AD0DC4">
      <w:pPr>
        <w:spacing w:after="120"/>
        <w:jc w:val="both"/>
        <w:rPr>
          <w:rFonts w:cs="Times New Roman"/>
        </w:rPr>
      </w:pPr>
      <w:r>
        <w:t>Co</w:t>
      </w:r>
      <w:r w:rsidRPr="00E8372D">
        <w:rPr>
          <w:rFonts w:cs="Times New Roman"/>
        </w:rPr>
        <w:t>ncerne les expériences et exp</w:t>
      </w:r>
      <w:r>
        <w:rPr>
          <w:rFonts w:cs="Times New Roman"/>
        </w:rPr>
        <w:t xml:space="preserve">ressions des personnes sexuées, </w:t>
      </w:r>
      <w:r w:rsidR="00BE22FF">
        <w:rPr>
          <w:rFonts w:cs="Times New Roman"/>
        </w:rPr>
        <w:t xml:space="preserve">concerne </w:t>
      </w:r>
      <w:r w:rsidRPr="00D8278F">
        <w:rPr>
          <w:rFonts w:cs="Times New Roman"/>
        </w:rPr>
        <w:t>tous les états de vie</w:t>
      </w:r>
      <w:r>
        <w:t xml:space="preserve">, </w:t>
      </w:r>
      <w:r>
        <w:rPr>
          <w:rFonts w:cs="Times New Roman"/>
        </w:rPr>
        <w:t>p</w:t>
      </w:r>
      <w:r w:rsidRPr="00D8278F">
        <w:rPr>
          <w:rFonts w:cs="Times New Roman"/>
        </w:rPr>
        <w:t xml:space="preserve">ossède une dimension </w:t>
      </w:r>
      <w:r>
        <w:rPr>
          <w:rFonts w:cs="Times New Roman"/>
        </w:rPr>
        <w:t>sociale et culturelle.</w:t>
      </w:r>
    </w:p>
    <w:p w14:paraId="74190976" w14:textId="77777777" w:rsidR="00AD0DC4" w:rsidRDefault="00AD0DC4" w:rsidP="00AD0DC4">
      <w:pPr>
        <w:spacing w:after="120"/>
        <w:jc w:val="both"/>
        <w:rPr>
          <w:rFonts w:cs="Times New Roman"/>
          <w:b/>
        </w:rPr>
      </w:pPr>
      <w:r w:rsidRPr="00D92DF0">
        <w:rPr>
          <w:rFonts w:cs="Times New Roman"/>
          <w:b/>
        </w:rPr>
        <w:t>1</w:t>
      </w:r>
      <w:r>
        <w:rPr>
          <w:rFonts w:cs="Times New Roman"/>
          <w:b/>
        </w:rPr>
        <w:t>.</w:t>
      </w:r>
      <w:r w:rsidRPr="00D92DF0">
        <w:rPr>
          <w:rFonts w:cs="Times New Roman"/>
          <w:b/>
        </w:rPr>
        <w:t>2</w:t>
      </w:r>
      <w:r>
        <w:rPr>
          <w:rFonts w:cs="Times New Roman"/>
          <w:b/>
        </w:rPr>
        <w:t>.</w:t>
      </w:r>
      <w:r w:rsidRPr="00D92DF0">
        <w:rPr>
          <w:rFonts w:cs="Times New Roman"/>
          <w:b/>
        </w:rPr>
        <w:t xml:space="preserve"> </w:t>
      </w:r>
      <w:r>
        <w:rPr>
          <w:rFonts w:cs="Times New Roman"/>
          <w:b/>
        </w:rPr>
        <w:t xml:space="preserve">Distinguer orientation et pratiques sexuelles </w:t>
      </w:r>
    </w:p>
    <w:p w14:paraId="74133B1D" w14:textId="44E77F42" w:rsidR="00DD4AA9" w:rsidRPr="00E8427B" w:rsidRDefault="00DD4AA9" w:rsidP="00E8427B">
      <w:pPr>
        <w:spacing w:after="120" w:line="276" w:lineRule="auto"/>
      </w:pPr>
      <w:r>
        <w:rPr>
          <w:rFonts w:cs="Times New Roman"/>
        </w:rPr>
        <w:t>L’Église « dénonce</w:t>
      </w:r>
      <w:r w:rsidRPr="00E76965">
        <w:rPr>
          <w:rFonts w:cs="Times New Roman"/>
        </w:rPr>
        <w:t xml:space="preserve"> comme contraire à la dignité humaine le fait que, dans certains endroits, de nombreuses personnes soient emprisonnées, torturées et même privées du bien de la vie uniquement en raison de leur orientation sexuelle</w:t>
      </w:r>
      <w:r>
        <w:rPr>
          <w:rFonts w:cs="Times New Roman"/>
        </w:rPr>
        <w:t> » (</w:t>
      </w:r>
      <w:r>
        <w:rPr>
          <w:rFonts w:ascii="Tahoma" w:eastAsia="Times New Roman" w:hAnsi="Tahoma" w:cs="Tahoma"/>
          <w:color w:val="000000"/>
          <w:sz w:val="22"/>
          <w:szCs w:val="22"/>
          <w:shd w:val="clear" w:color="auto" w:fill="FFFFFF"/>
        </w:rPr>
        <w:t xml:space="preserve">Dicastère doctrine de la foi, </w:t>
      </w:r>
      <w:r>
        <w:t xml:space="preserve">Déclaration </w:t>
      </w:r>
      <w:r w:rsidR="00AA6ED6">
        <w:rPr>
          <w:i/>
        </w:rPr>
        <w:t>D</w:t>
      </w:r>
      <w:r w:rsidRPr="00DD4AA9">
        <w:rPr>
          <w:i/>
        </w:rPr>
        <w:t>ignitas infinita</w:t>
      </w:r>
      <w:r>
        <w:t xml:space="preserve"> sur la dignité humaine, n°55)</w:t>
      </w:r>
    </w:p>
    <w:p w14:paraId="115B435D" w14:textId="77777777" w:rsidR="00AD0DC4" w:rsidRDefault="00AD0DC4" w:rsidP="00AD0DC4">
      <w:pPr>
        <w:rPr>
          <w:b/>
        </w:rPr>
      </w:pPr>
      <w:r>
        <w:rPr>
          <w:b/>
        </w:rPr>
        <w:t xml:space="preserve">1.3 .L’outil conceptuel du genre </w:t>
      </w:r>
    </w:p>
    <w:p w14:paraId="37B67635" w14:textId="675F19C0" w:rsidR="00AD0DC4" w:rsidRDefault="00AD0DC4" w:rsidP="00AD0DC4">
      <w:pPr>
        <w:rPr>
          <w:b/>
        </w:rPr>
      </w:pPr>
      <w:r w:rsidRPr="006F5A5D">
        <w:rPr>
          <w:b/>
        </w:rPr>
        <w:t xml:space="preserve">Le </w:t>
      </w:r>
      <w:r>
        <w:rPr>
          <w:b/>
        </w:rPr>
        <w:t xml:space="preserve">genre </w:t>
      </w:r>
      <w:r w:rsidRPr="006A3316">
        <w:rPr>
          <w:rFonts w:cs="Times New Roman"/>
          <w:b/>
        </w:rPr>
        <w:t>renvoie à la dimension sociale des rôles associés aux personnes selon leur sexe</w:t>
      </w:r>
    </w:p>
    <w:p w14:paraId="2C9EEA1B" w14:textId="77777777" w:rsidR="00AD0DC4" w:rsidRDefault="00AD0DC4" w:rsidP="00AD0DC4">
      <w:pPr>
        <w:spacing w:after="120"/>
      </w:pPr>
      <w:r w:rsidRPr="00F21D27">
        <w:t>« Dans l’histoire, des systèmes variés de représentation permettant l’explication et la justification des différences physiologiques entre les hommes et les femmes, des rôles sexuels, familiaux et sociaux ainsi que des rapports de pouvoir, vont s’élaborer notamment à partir de concepts physiques, médicaux et religieux. » (</w:t>
      </w:r>
      <w:r w:rsidRPr="00AD0DC4">
        <w:rPr>
          <w:sz w:val="20"/>
          <w:szCs w:val="20"/>
        </w:rPr>
        <w:t xml:space="preserve">Bruno </w:t>
      </w:r>
      <w:r w:rsidRPr="00AD0DC4">
        <w:rPr>
          <w:rFonts w:eastAsia="Times New Roman" w:cs="Times New Roman"/>
          <w:color w:val="323232"/>
          <w:sz w:val="20"/>
          <w:szCs w:val="20"/>
        </w:rPr>
        <w:t>Saintôt</w:t>
      </w:r>
      <w:r w:rsidRPr="00AD0DC4">
        <w:rPr>
          <w:rFonts w:eastAsia="Times New Roman" w:cs="Times New Roman"/>
          <w:color w:val="323232"/>
          <w:sz w:val="20"/>
          <w:szCs w:val="20"/>
          <w:shd w:val="clear" w:color="auto" w:fill="FFFFFF"/>
        </w:rPr>
        <w:t xml:space="preserve">, Que fait le </w:t>
      </w:r>
      <w:r w:rsidRPr="00AD0DC4">
        <w:rPr>
          <w:rFonts w:eastAsia="Times New Roman" w:cs="Times New Roman"/>
          <w:i/>
          <w:iCs/>
          <w:color w:val="323232"/>
          <w:sz w:val="20"/>
          <w:szCs w:val="20"/>
        </w:rPr>
        <w:t>genre</w:t>
      </w:r>
      <w:r w:rsidRPr="00AD0DC4">
        <w:rPr>
          <w:rFonts w:eastAsia="Times New Roman" w:cs="Times New Roman"/>
          <w:color w:val="323232"/>
          <w:sz w:val="20"/>
          <w:szCs w:val="20"/>
          <w:shd w:val="clear" w:color="auto" w:fill="FFFFFF"/>
        </w:rPr>
        <w:t xml:space="preserve"> à l’éthique théologique : </w:t>
      </w:r>
      <w:r w:rsidRPr="00AD0DC4">
        <w:rPr>
          <w:rFonts w:eastAsia="Times New Roman" w:cs="Times New Roman"/>
          <w:i/>
          <w:iCs/>
          <w:color w:val="323232"/>
          <w:sz w:val="20"/>
          <w:szCs w:val="20"/>
        </w:rPr>
        <w:t>Éléments d’histoire et problématiques</w:t>
      </w:r>
      <w:r w:rsidRPr="00AD0DC4">
        <w:rPr>
          <w:rFonts w:eastAsia="Times New Roman" w:cs="Times New Roman"/>
          <w:color w:val="323232"/>
          <w:sz w:val="20"/>
          <w:szCs w:val="20"/>
          <w:shd w:val="clear" w:color="auto" w:fill="FFFFFF"/>
        </w:rPr>
        <w:t>. </w:t>
      </w:r>
      <w:r w:rsidRPr="00AD0DC4">
        <w:rPr>
          <w:rFonts w:eastAsia="Times New Roman" w:cs="Times New Roman"/>
          <w:i/>
          <w:iCs/>
          <w:color w:val="323232"/>
          <w:sz w:val="20"/>
          <w:szCs w:val="20"/>
        </w:rPr>
        <w:t>Revue d'éthique et de théologie morale</w:t>
      </w:r>
      <w:r w:rsidRPr="00AD0DC4">
        <w:rPr>
          <w:rFonts w:eastAsia="Times New Roman" w:cs="Times New Roman"/>
          <w:color w:val="323232"/>
          <w:sz w:val="20"/>
          <w:szCs w:val="20"/>
          <w:shd w:val="clear" w:color="auto" w:fill="FFFFFF"/>
        </w:rPr>
        <w:t xml:space="preserve">, 2020/4 (N° 308) </w:t>
      </w:r>
      <w:r w:rsidRPr="00AD0DC4">
        <w:rPr>
          <w:rFonts w:eastAsia="Times New Roman" w:cs="Times New Roman"/>
          <w:sz w:val="20"/>
          <w:szCs w:val="20"/>
        </w:rPr>
        <w:t xml:space="preserve">p </w:t>
      </w:r>
      <w:r w:rsidRPr="00AD0DC4">
        <w:rPr>
          <w:sz w:val="20"/>
          <w:szCs w:val="20"/>
        </w:rPr>
        <w:t>4-15</w:t>
      </w:r>
      <w:r w:rsidRPr="00F21D27">
        <w:t>)</w:t>
      </w:r>
    </w:p>
    <w:p w14:paraId="4016E7BA" w14:textId="18F255AA" w:rsidR="00AD0DC4" w:rsidRPr="00AD0DC4" w:rsidRDefault="00AD0DC4" w:rsidP="00AD0DC4">
      <w:pPr>
        <w:rPr>
          <w:b/>
        </w:rPr>
      </w:pPr>
      <w:r w:rsidRPr="0091599A">
        <w:rPr>
          <w:b/>
        </w:rPr>
        <w:t>L’accueil progressif de la notion de genre par l’Église</w:t>
      </w:r>
      <w:r>
        <w:rPr>
          <w:b/>
        </w:rPr>
        <w:t> :</w:t>
      </w:r>
      <w:r w:rsidRPr="006A3316">
        <w:rPr>
          <w:b/>
        </w:rPr>
        <w:t xml:space="preserve"> </w:t>
      </w:r>
      <w:r w:rsidRPr="00300717">
        <w:rPr>
          <w:b/>
        </w:rPr>
        <w:t xml:space="preserve">distinguer sans dissocier </w:t>
      </w:r>
    </w:p>
    <w:p w14:paraId="24578F05" w14:textId="6DC7F504" w:rsidR="00AD0DC4" w:rsidRPr="00AD0DC4" w:rsidRDefault="00AD0DC4" w:rsidP="00AD0DC4">
      <w:pPr>
        <w:spacing w:after="120"/>
        <w:rPr>
          <w:sz w:val="20"/>
          <w:szCs w:val="20"/>
        </w:rPr>
      </w:pPr>
      <w:r w:rsidRPr="00C95F10">
        <w:t>« Le genre est la manière dont on vit, dans chaque culture, la différence entre les</w:t>
      </w:r>
      <w:r w:rsidRPr="00C95F10">
        <w:rPr>
          <w:spacing w:val="-57"/>
        </w:rPr>
        <w:t xml:space="preserve"> </w:t>
      </w:r>
      <w:r w:rsidRPr="00C95F10">
        <w:t>deux</w:t>
      </w:r>
      <w:r w:rsidRPr="00C95F10">
        <w:rPr>
          <w:spacing w:val="1"/>
        </w:rPr>
        <w:t xml:space="preserve"> </w:t>
      </w:r>
      <w:r w:rsidRPr="00C95F10">
        <w:t>sexes.</w:t>
      </w:r>
      <w:r w:rsidRPr="00C95F10">
        <w:rPr>
          <w:spacing w:val="1"/>
        </w:rPr>
        <w:t xml:space="preserve"> </w:t>
      </w:r>
      <w:r w:rsidRPr="00C95F10">
        <w:t>Le</w:t>
      </w:r>
      <w:r w:rsidRPr="00C95F10">
        <w:rPr>
          <w:spacing w:val="1"/>
        </w:rPr>
        <w:t xml:space="preserve"> </w:t>
      </w:r>
      <w:r w:rsidRPr="00C95F10">
        <w:t>problème</w:t>
      </w:r>
      <w:r w:rsidRPr="00C95F10">
        <w:rPr>
          <w:spacing w:val="1"/>
        </w:rPr>
        <w:t xml:space="preserve"> </w:t>
      </w:r>
      <w:r w:rsidRPr="00C95F10">
        <w:t>ne</w:t>
      </w:r>
      <w:r w:rsidRPr="00C95F10">
        <w:rPr>
          <w:spacing w:val="1"/>
        </w:rPr>
        <w:t xml:space="preserve"> </w:t>
      </w:r>
      <w:r w:rsidRPr="00C95F10">
        <w:t>réside</w:t>
      </w:r>
      <w:r w:rsidRPr="00C95F10">
        <w:rPr>
          <w:spacing w:val="1"/>
        </w:rPr>
        <w:t xml:space="preserve"> </w:t>
      </w:r>
      <w:r w:rsidRPr="00C95F10">
        <w:t>pas</w:t>
      </w:r>
      <w:r w:rsidRPr="00C95F10">
        <w:rPr>
          <w:spacing w:val="1"/>
        </w:rPr>
        <w:t xml:space="preserve"> </w:t>
      </w:r>
      <w:r w:rsidRPr="00C95F10">
        <w:t>dans</w:t>
      </w:r>
      <w:r w:rsidRPr="00C95F10">
        <w:rPr>
          <w:spacing w:val="1"/>
        </w:rPr>
        <w:t xml:space="preserve"> </w:t>
      </w:r>
      <w:r w:rsidRPr="00C95F10">
        <w:t>la</w:t>
      </w:r>
      <w:r w:rsidRPr="00C95F10">
        <w:rPr>
          <w:spacing w:val="1"/>
        </w:rPr>
        <w:t xml:space="preserve"> </w:t>
      </w:r>
      <w:r w:rsidRPr="00C95F10">
        <w:t>distinction</w:t>
      </w:r>
      <w:r w:rsidRPr="00C95F10">
        <w:rPr>
          <w:spacing w:val="1"/>
        </w:rPr>
        <w:t xml:space="preserve"> </w:t>
      </w:r>
      <w:r w:rsidRPr="00C95F10">
        <w:t>en</w:t>
      </w:r>
      <w:r w:rsidRPr="00C95F10">
        <w:rPr>
          <w:spacing w:val="1"/>
        </w:rPr>
        <w:t xml:space="preserve"> </w:t>
      </w:r>
      <w:r w:rsidRPr="00C95F10">
        <w:t>soi,</w:t>
      </w:r>
      <w:r w:rsidRPr="00C95F10">
        <w:rPr>
          <w:spacing w:val="1"/>
        </w:rPr>
        <w:t xml:space="preserve"> </w:t>
      </w:r>
      <w:r w:rsidRPr="00C95F10">
        <w:t>qui</w:t>
      </w:r>
      <w:r w:rsidRPr="00C95F10">
        <w:rPr>
          <w:spacing w:val="1"/>
        </w:rPr>
        <w:t xml:space="preserve"> </w:t>
      </w:r>
      <w:r w:rsidRPr="00C95F10">
        <w:t>peut</w:t>
      </w:r>
      <w:r w:rsidRPr="00C95F10">
        <w:rPr>
          <w:spacing w:val="1"/>
        </w:rPr>
        <w:t xml:space="preserve"> </w:t>
      </w:r>
      <w:r w:rsidRPr="00C95F10">
        <w:t>être</w:t>
      </w:r>
      <w:r w:rsidRPr="00C95F10">
        <w:rPr>
          <w:spacing w:val="1"/>
        </w:rPr>
        <w:t xml:space="preserve"> </w:t>
      </w:r>
      <w:r w:rsidRPr="00C95F10">
        <w:t>interprétée</w:t>
      </w:r>
      <w:r w:rsidRPr="00C95F10">
        <w:rPr>
          <w:spacing w:val="1"/>
        </w:rPr>
        <w:t xml:space="preserve"> </w:t>
      </w:r>
      <w:r w:rsidRPr="00C95F10">
        <w:t xml:space="preserve">correctement, mais en une séparation entre sexe et genre ». </w:t>
      </w:r>
      <w:r>
        <w:t>(</w:t>
      </w:r>
      <w:r w:rsidRPr="00AD0DC4">
        <w:rPr>
          <w:sz w:val="20"/>
          <w:szCs w:val="20"/>
        </w:rPr>
        <w:t xml:space="preserve">CONGRÉGATION POUR L’ÉDUCATION CATHOLIQUE, </w:t>
      </w:r>
      <w:r w:rsidRPr="00AD0DC4">
        <w:rPr>
          <w:i/>
          <w:sz w:val="20"/>
          <w:szCs w:val="20"/>
        </w:rPr>
        <w:t xml:space="preserve">Il les créa homme et femme, </w:t>
      </w:r>
      <w:r w:rsidRPr="00AD0DC4">
        <w:rPr>
          <w:sz w:val="20"/>
          <w:szCs w:val="20"/>
        </w:rPr>
        <w:t>pour un</w:t>
      </w:r>
      <w:r w:rsidRPr="00AD0DC4">
        <w:rPr>
          <w:spacing w:val="1"/>
          <w:sz w:val="20"/>
          <w:szCs w:val="20"/>
        </w:rPr>
        <w:t xml:space="preserve"> </w:t>
      </w:r>
      <w:r w:rsidRPr="00AD0DC4">
        <w:rPr>
          <w:sz w:val="20"/>
          <w:szCs w:val="20"/>
        </w:rPr>
        <w:t xml:space="preserve">chemin de dialogue sur la question du </w:t>
      </w:r>
      <w:r w:rsidRPr="00AD0DC4">
        <w:rPr>
          <w:i/>
          <w:sz w:val="20"/>
          <w:szCs w:val="20"/>
        </w:rPr>
        <w:t xml:space="preserve">GENRE </w:t>
      </w:r>
      <w:r w:rsidRPr="00AD0DC4">
        <w:rPr>
          <w:sz w:val="20"/>
          <w:szCs w:val="20"/>
        </w:rPr>
        <w:t>dans l’éducation,  2019, n°11</w:t>
      </w:r>
      <w:r>
        <w:rPr>
          <w:sz w:val="20"/>
          <w:szCs w:val="20"/>
        </w:rPr>
        <w:t>)</w:t>
      </w:r>
    </w:p>
    <w:p w14:paraId="6DD3630D" w14:textId="215E1BDF" w:rsidR="00AD0DC4" w:rsidRPr="00AD0DC4" w:rsidRDefault="00AD0DC4" w:rsidP="00AD0DC4">
      <w:pPr>
        <w:spacing w:after="120"/>
        <w:jc w:val="both"/>
        <w:rPr>
          <w:rFonts w:cs="Times New Roman"/>
        </w:rPr>
      </w:pPr>
      <w:r>
        <w:rPr>
          <w:rFonts w:cs="Times New Roman"/>
        </w:rPr>
        <w:t xml:space="preserve"> « </w:t>
      </w:r>
      <w:r>
        <w:t>Il ne faut pas ignorer que « </w:t>
      </w:r>
      <w:r w:rsidRPr="00EE7398">
        <w:t>le sexe biologique (sex) et le rôle socioculturel du sexe (gender), peuvent être distingués, mais non séparés</w:t>
      </w:r>
      <w:r>
        <w:t> »</w:t>
      </w:r>
      <w:r w:rsidRPr="009201E1">
        <w:rPr>
          <w:rFonts w:cs="Times New Roman"/>
        </w:rPr>
        <w:t xml:space="preserve"> (</w:t>
      </w:r>
      <w:r w:rsidRPr="00AD0DC4">
        <w:rPr>
          <w:rFonts w:cs="Times New Roman"/>
          <w:i/>
        </w:rPr>
        <w:t>Amoris laetitia</w:t>
      </w:r>
      <w:r>
        <w:rPr>
          <w:rFonts w:cs="Times New Roman"/>
        </w:rPr>
        <w:t xml:space="preserve"> </w:t>
      </w:r>
      <w:r w:rsidRPr="009201E1">
        <w:rPr>
          <w:rFonts w:cs="Times New Roman"/>
        </w:rPr>
        <w:t xml:space="preserve">56). </w:t>
      </w:r>
    </w:p>
    <w:p w14:paraId="041FDC6A" w14:textId="77777777" w:rsidR="00A91247" w:rsidRPr="00F77E5B" w:rsidRDefault="00A91247" w:rsidP="00A91247">
      <w:pPr>
        <w:jc w:val="both"/>
        <w:rPr>
          <w:b/>
        </w:rPr>
      </w:pPr>
      <w:r>
        <w:rPr>
          <w:b/>
        </w:rPr>
        <w:t xml:space="preserve">2. En christianisme, </w:t>
      </w:r>
      <w:r>
        <w:rPr>
          <w:rFonts w:cs="Times"/>
          <w:b/>
        </w:rPr>
        <w:t>reconnaissance progressive de</w:t>
      </w:r>
      <w:r w:rsidRPr="0026024D">
        <w:rPr>
          <w:rFonts w:cs="Times"/>
          <w:b/>
        </w:rPr>
        <w:t xml:space="preserve"> la complexité de la sexualité </w:t>
      </w:r>
    </w:p>
    <w:p w14:paraId="163433FA" w14:textId="2D0697F0" w:rsidR="00A91247" w:rsidRPr="007C5A60" w:rsidRDefault="00A91247" w:rsidP="00D74167">
      <w:pPr>
        <w:spacing w:after="120"/>
        <w:jc w:val="both"/>
      </w:pPr>
      <w:r>
        <w:rPr>
          <w:rFonts w:cs="Times"/>
        </w:rPr>
        <w:t>-</w:t>
      </w:r>
      <w:r w:rsidRPr="00340C25">
        <w:rPr>
          <w:rFonts w:cs="Times"/>
        </w:rPr>
        <w:t xml:space="preserve"> </w:t>
      </w:r>
      <w:r w:rsidRPr="007C5A60">
        <w:t xml:space="preserve">L’héritage </w:t>
      </w:r>
      <w:r>
        <w:t>du dualisme</w:t>
      </w:r>
    </w:p>
    <w:p w14:paraId="034CC689" w14:textId="336926B3" w:rsidR="007C19B7" w:rsidRDefault="00A91247" w:rsidP="00FB17BC">
      <w:pPr>
        <w:spacing w:after="120"/>
      </w:pPr>
      <w:r>
        <w:rPr>
          <w:rFonts w:cs="Times"/>
        </w:rPr>
        <w:t>-</w:t>
      </w:r>
      <w:r w:rsidRPr="009A11AC">
        <w:rPr>
          <w:rFonts w:cs="Times"/>
        </w:rPr>
        <w:t xml:space="preserve">Des passages progressifs : du tout péché aux difficultés ; de l’objectivité des actes </w:t>
      </w:r>
      <w:r w:rsidRPr="009A11AC">
        <w:t>à la prise en compte de toute la personne</w:t>
      </w:r>
    </w:p>
    <w:p w14:paraId="1D963E34" w14:textId="24298206" w:rsidR="00A91247" w:rsidRPr="009A11AC" w:rsidRDefault="00FB17BC" w:rsidP="00FB17BC">
      <w:pPr>
        <w:widowControl w:val="0"/>
        <w:autoSpaceDE w:val="0"/>
        <w:autoSpaceDN w:val="0"/>
        <w:adjustRightInd w:val="0"/>
        <w:spacing w:after="120"/>
        <w:jc w:val="both"/>
        <w:rPr>
          <w:w w:val="105"/>
        </w:rPr>
      </w:pPr>
      <w:r>
        <w:t>Mais c</w:t>
      </w:r>
      <w:r w:rsidR="00A91247" w:rsidRPr="009A11AC">
        <w:t>onstat</w:t>
      </w:r>
      <w:r w:rsidR="00A91247">
        <w:t xml:space="preserve"> critique</w:t>
      </w:r>
      <w:r w:rsidR="00D57650">
        <w:t xml:space="preserve"> de la CIASE</w:t>
      </w:r>
      <w:r w:rsidR="00A91247" w:rsidRPr="009A11AC">
        <w:t> :« </w:t>
      </w:r>
      <w:r w:rsidR="00A91247" w:rsidRPr="009A11AC">
        <w:rPr>
          <w:w w:val="105"/>
        </w:rPr>
        <w:t>La Tradition de l’Église appréhendant la sexualité au seul prisme du</w:t>
      </w:r>
      <w:r w:rsidR="00A91247" w:rsidRPr="009A11AC">
        <w:rPr>
          <w:spacing w:val="-50"/>
          <w:w w:val="105"/>
        </w:rPr>
        <w:t xml:space="preserve"> </w:t>
      </w:r>
      <w:r w:rsidR="00A91247" w:rsidRPr="009A11AC">
        <w:t>sixième</w:t>
      </w:r>
      <w:r w:rsidR="00A91247" w:rsidRPr="009A11AC">
        <w:rPr>
          <w:spacing w:val="42"/>
        </w:rPr>
        <w:t xml:space="preserve"> </w:t>
      </w:r>
      <w:r w:rsidR="00A91247" w:rsidRPr="009A11AC">
        <w:t>commandement</w:t>
      </w:r>
      <w:r w:rsidR="00A91247" w:rsidRPr="009A11AC">
        <w:rPr>
          <w:spacing w:val="42"/>
        </w:rPr>
        <w:t xml:space="preserve"> </w:t>
      </w:r>
      <w:r w:rsidR="00A91247" w:rsidRPr="009A11AC">
        <w:t>du</w:t>
      </w:r>
      <w:r w:rsidR="00A91247" w:rsidRPr="009A11AC">
        <w:rPr>
          <w:spacing w:val="42"/>
        </w:rPr>
        <w:t xml:space="preserve"> </w:t>
      </w:r>
      <w:r w:rsidR="00A91247" w:rsidRPr="009A11AC">
        <w:t>Décalogue</w:t>
      </w:r>
      <w:r w:rsidR="00A91247" w:rsidRPr="009A11AC">
        <w:rPr>
          <w:spacing w:val="44"/>
        </w:rPr>
        <w:t xml:space="preserve"> </w:t>
      </w:r>
      <w:r w:rsidR="00A91247" w:rsidRPr="009A11AC">
        <w:t>–</w:t>
      </w:r>
      <w:r w:rsidR="00A91247" w:rsidRPr="009A11AC">
        <w:rPr>
          <w:spacing w:val="43"/>
        </w:rPr>
        <w:t xml:space="preserve"> </w:t>
      </w:r>
      <w:r w:rsidR="00A91247" w:rsidRPr="009A11AC">
        <w:t>«</w:t>
      </w:r>
      <w:r w:rsidR="00A91247" w:rsidRPr="009A11AC">
        <w:rPr>
          <w:spacing w:val="-11"/>
        </w:rPr>
        <w:t xml:space="preserve"> </w:t>
      </w:r>
      <w:r w:rsidR="00A91247" w:rsidRPr="009A11AC">
        <w:t>Tu</w:t>
      </w:r>
      <w:r w:rsidR="00A91247" w:rsidRPr="009A11AC">
        <w:rPr>
          <w:spacing w:val="43"/>
        </w:rPr>
        <w:t xml:space="preserve"> </w:t>
      </w:r>
      <w:r w:rsidR="00A91247" w:rsidRPr="009A11AC">
        <w:t>ne</w:t>
      </w:r>
      <w:r w:rsidR="00A91247" w:rsidRPr="009A11AC">
        <w:rPr>
          <w:spacing w:val="42"/>
        </w:rPr>
        <w:t xml:space="preserve"> </w:t>
      </w:r>
      <w:r w:rsidR="00A91247" w:rsidRPr="009A11AC">
        <w:t>commettras</w:t>
      </w:r>
      <w:r w:rsidR="00A91247" w:rsidRPr="009A11AC">
        <w:rPr>
          <w:spacing w:val="42"/>
        </w:rPr>
        <w:t xml:space="preserve"> </w:t>
      </w:r>
      <w:r w:rsidR="00A91247" w:rsidRPr="009A11AC">
        <w:t>pas</w:t>
      </w:r>
      <w:r w:rsidR="00A91247" w:rsidRPr="009A11AC">
        <w:rPr>
          <w:spacing w:val="43"/>
        </w:rPr>
        <w:t xml:space="preserve"> </w:t>
      </w:r>
      <w:r w:rsidR="00A91247" w:rsidRPr="009A11AC">
        <w:lastRenderedPageBreak/>
        <w:t xml:space="preserve">d’adultère » –, met l’accent sur les offenses à la chasteté et non sur les offenses aux </w:t>
      </w:r>
      <w:r w:rsidR="00A91247" w:rsidRPr="009A11AC">
        <w:rPr>
          <w:spacing w:val="-48"/>
        </w:rPr>
        <w:t xml:space="preserve"> </w:t>
      </w:r>
      <w:r w:rsidR="008A4598">
        <w:rPr>
          <w:w w:val="105"/>
        </w:rPr>
        <w:t>personne</w:t>
      </w:r>
      <w:r w:rsidR="00A91247" w:rsidRPr="009A11AC">
        <w:rPr>
          <w:w w:val="105"/>
        </w:rPr>
        <w:t>»</w:t>
      </w:r>
      <w:r w:rsidR="008A4598">
        <w:rPr>
          <w:w w:val="105"/>
        </w:rPr>
        <w:t xml:space="preserve"> ( CIASE </w:t>
      </w:r>
      <w:r w:rsidR="008A4598" w:rsidRPr="00222D94">
        <w:rPr>
          <w:w w:val="105"/>
          <w:sz w:val="20"/>
          <w:szCs w:val="20"/>
        </w:rPr>
        <w:t>n° 932, 2021</w:t>
      </w:r>
      <w:r w:rsidR="008A4598">
        <w:rPr>
          <w:w w:val="105"/>
          <w:sz w:val="20"/>
          <w:szCs w:val="20"/>
        </w:rPr>
        <w:t>)</w:t>
      </w:r>
    </w:p>
    <w:p w14:paraId="27DD04AB" w14:textId="16615F55" w:rsidR="00A91247" w:rsidRDefault="00E8427B" w:rsidP="007C19B7">
      <w:pPr>
        <w:widowControl w:val="0"/>
        <w:autoSpaceDE w:val="0"/>
        <w:autoSpaceDN w:val="0"/>
        <w:adjustRightInd w:val="0"/>
        <w:spacing w:after="120"/>
        <w:jc w:val="both"/>
        <w:rPr>
          <w:i/>
        </w:rPr>
      </w:pPr>
      <w:r>
        <w:t>L</w:t>
      </w:r>
      <w:r w:rsidR="00FB17BC">
        <w:t>e</w:t>
      </w:r>
      <w:r w:rsidR="00A91247" w:rsidRPr="009A11AC">
        <w:t xml:space="preserve"> tournant personnaliste</w:t>
      </w:r>
      <w:r w:rsidR="00A91247">
        <w:t xml:space="preserve"> de Vatican II</w:t>
      </w:r>
      <w:r w:rsidR="00A91247" w:rsidRPr="009A11AC">
        <w:t> : la sexualité est liée à l’</w:t>
      </w:r>
      <w:r w:rsidR="00A91247" w:rsidRPr="009A11AC">
        <w:rPr>
          <w:i/>
        </w:rPr>
        <w:t>expression de la personne</w:t>
      </w:r>
      <w:r w:rsidR="00A91247" w:rsidRPr="009A11AC">
        <w:t xml:space="preserve">, à sa communication, à sa possible donation, et non pas réduite à l’appréciation morale des </w:t>
      </w:r>
      <w:r w:rsidR="00A91247" w:rsidRPr="009A11AC">
        <w:rPr>
          <w:i/>
        </w:rPr>
        <w:t>actes sexuels</w:t>
      </w:r>
      <w:r w:rsidR="00D57650">
        <w:rPr>
          <w:i/>
        </w:rPr>
        <w:t>.</w:t>
      </w:r>
    </w:p>
    <w:p w14:paraId="6508DB4D" w14:textId="600A91AF" w:rsidR="00A91247" w:rsidRPr="002E56D5" w:rsidRDefault="00A91247" w:rsidP="00A91247">
      <w:pPr>
        <w:widowControl w:val="0"/>
        <w:autoSpaceDE w:val="0"/>
        <w:autoSpaceDN w:val="0"/>
        <w:adjustRightInd w:val="0"/>
        <w:jc w:val="both"/>
        <w:rPr>
          <w:rFonts w:cs="Times"/>
        </w:rPr>
      </w:pPr>
      <w:r>
        <w:rPr>
          <w:rFonts w:cs="Times"/>
        </w:rPr>
        <w:t xml:space="preserve">-Reconnaître </w:t>
      </w:r>
      <w:r w:rsidR="00FB17BC">
        <w:t>l</w:t>
      </w:r>
      <w:r w:rsidRPr="002E56D5">
        <w:t>a complexité</w:t>
      </w:r>
      <w:r w:rsidR="00FB17BC">
        <w:t xml:space="preserve"> de la sexualité</w:t>
      </w:r>
      <w:r w:rsidRPr="002E56D5">
        <w:t xml:space="preserve"> </w:t>
      </w:r>
    </w:p>
    <w:p w14:paraId="1FD2083E" w14:textId="428343EC" w:rsidR="00A91247" w:rsidRDefault="00A91247" w:rsidP="007C19B7">
      <w:pPr>
        <w:spacing w:after="120"/>
      </w:pPr>
      <w:r>
        <w:t>«  Dieu nous demande de partir de notre réalité psycho-sexuelle telle qu’elle es</w:t>
      </w:r>
      <w:r w:rsidR="008A4598">
        <w:t>t</w:t>
      </w:r>
      <w:r>
        <w:t> »</w:t>
      </w:r>
      <w:r w:rsidR="008A4598">
        <w:t xml:space="preserve"> (</w:t>
      </w:r>
      <w:r w:rsidR="008A4598">
        <w:rPr>
          <w:sz w:val="20"/>
          <w:szCs w:val="20"/>
        </w:rPr>
        <w:t>Xavier Thévenot</w:t>
      </w:r>
      <w:r w:rsidR="008A4598" w:rsidRPr="00222D94">
        <w:rPr>
          <w:sz w:val="20"/>
          <w:szCs w:val="20"/>
        </w:rPr>
        <w:t xml:space="preserve">, </w:t>
      </w:r>
      <w:r w:rsidR="008A4598" w:rsidRPr="00222D94">
        <w:rPr>
          <w:i/>
          <w:sz w:val="20"/>
          <w:szCs w:val="20"/>
        </w:rPr>
        <w:t>Repères éthiques pour un monde nouveau</w:t>
      </w:r>
      <w:r w:rsidR="008A4598" w:rsidRPr="00222D94">
        <w:rPr>
          <w:sz w:val="20"/>
          <w:szCs w:val="20"/>
        </w:rPr>
        <w:t>, Salvator, 1982, p 40</w:t>
      </w:r>
      <w:r w:rsidR="008A4598">
        <w:rPr>
          <w:sz w:val="20"/>
          <w:szCs w:val="20"/>
        </w:rPr>
        <w:t>)</w:t>
      </w:r>
    </w:p>
    <w:p w14:paraId="5793023F" w14:textId="77777777" w:rsidR="00A91247" w:rsidRDefault="00A91247" w:rsidP="00A91247">
      <w:pPr>
        <w:jc w:val="both"/>
      </w:pPr>
      <w:r>
        <w:rPr>
          <w:rFonts w:cs="Times"/>
        </w:rPr>
        <w:t>-</w:t>
      </w:r>
      <w:r w:rsidRPr="00340C25">
        <w:rPr>
          <w:rFonts w:cs="Times"/>
        </w:rPr>
        <w:t>Continuer d’inventer le fragile équilibre d’une sexualité humanisante.</w:t>
      </w:r>
      <w:r w:rsidRPr="0026024D">
        <w:t xml:space="preserve"> </w:t>
      </w:r>
    </w:p>
    <w:p w14:paraId="0BAB13A8" w14:textId="28E76828" w:rsidR="00A91247" w:rsidRPr="00D8278F" w:rsidRDefault="00A91247" w:rsidP="00151207">
      <w:pPr>
        <w:spacing w:after="120"/>
        <w:jc w:val="both"/>
      </w:pPr>
      <w:r w:rsidRPr="0026024D">
        <w:t>« sans survaloriser l’exercice de la sexualité il faut cependant considérer que celui-ci engage des réalités personnelles et collectives très importantes. Pour accéder à la joie de vivre et éviter la violence réciproque, le sujet humain ne saurait donc se fier à une pseudo-régulation de la sexualité par elle-même. En vérité, l’usage du sexe, pour être humanisant, nécessite toujours une régulation éthique très attentive »</w:t>
      </w:r>
      <w:r w:rsidR="008A4598">
        <w:t xml:space="preserve"> (</w:t>
      </w:r>
      <w:r w:rsidR="008A4598">
        <w:rPr>
          <w:sz w:val="20"/>
          <w:szCs w:val="20"/>
        </w:rPr>
        <w:t>Xavier Thévenot</w:t>
      </w:r>
      <w:r w:rsidR="008A4598" w:rsidRPr="00222D94">
        <w:rPr>
          <w:sz w:val="20"/>
          <w:szCs w:val="20"/>
        </w:rPr>
        <w:t xml:space="preserve">, </w:t>
      </w:r>
      <w:r w:rsidR="008A4598" w:rsidRPr="00222D94">
        <w:rPr>
          <w:i/>
          <w:sz w:val="20"/>
          <w:szCs w:val="20"/>
        </w:rPr>
        <w:t>Repères éthiques pour un monde nouveau</w:t>
      </w:r>
      <w:r w:rsidR="008A4598">
        <w:rPr>
          <w:sz w:val="20"/>
          <w:szCs w:val="20"/>
        </w:rPr>
        <w:t>, Salvator, 1982, p 165)</w:t>
      </w:r>
    </w:p>
    <w:p w14:paraId="43DB6ABC" w14:textId="326000E5" w:rsidR="00A91247" w:rsidRPr="003A34FA" w:rsidRDefault="00A91247" w:rsidP="003A34FA">
      <w:pPr>
        <w:jc w:val="both"/>
      </w:pPr>
      <w:r>
        <w:rPr>
          <w:b/>
        </w:rPr>
        <w:t xml:space="preserve">3. Bible et sexualité, </w:t>
      </w:r>
      <w:r w:rsidRPr="00E77DA7">
        <w:rPr>
          <w:b/>
        </w:rPr>
        <w:t>fausse simplicit</w:t>
      </w:r>
      <w:r w:rsidR="003A34FA">
        <w:rPr>
          <w:b/>
        </w:rPr>
        <w:t xml:space="preserve">é </w:t>
      </w:r>
    </w:p>
    <w:p w14:paraId="539A787A" w14:textId="5FEDE0A9" w:rsidR="00A91247" w:rsidRDefault="003A34FA" w:rsidP="00A91247">
      <w:pPr>
        <w:jc w:val="both"/>
      </w:pPr>
      <w:r>
        <w:t>-</w:t>
      </w:r>
      <w:r w:rsidR="00A91247">
        <w:t xml:space="preserve">Recevoir la totalité de l’Écriture, l’interpréter. </w:t>
      </w:r>
    </w:p>
    <w:p w14:paraId="04811293" w14:textId="280F2497" w:rsidR="008A4598" w:rsidRDefault="007C19B7" w:rsidP="00A91247">
      <w:pPr>
        <w:jc w:val="both"/>
      </w:pPr>
      <w:r>
        <w:t>La</w:t>
      </w:r>
      <w:r w:rsidR="00A91247">
        <w:t xml:space="preserve"> sexualité y</w:t>
      </w:r>
      <w:r w:rsidR="008A4598">
        <w:t xml:space="preserve"> est une dimension importante </w:t>
      </w:r>
    </w:p>
    <w:p w14:paraId="6E7BFBB7" w14:textId="604E5238" w:rsidR="003A34FA" w:rsidRPr="00A00B35" w:rsidRDefault="00A91247" w:rsidP="00A00B35">
      <w:pPr>
        <w:spacing w:after="120"/>
        <w:jc w:val="both"/>
        <w:rPr>
          <w:rFonts w:eastAsia="Arial Unicode MS" w:cs="Arial Unicode MS"/>
        </w:rPr>
      </w:pPr>
      <w:r>
        <w:t>« la sexualité est signalée d’emblée par la Bible comme une dimension constitutive de la créature de Dieu. »</w:t>
      </w:r>
      <w:r w:rsidR="008A4598">
        <w:t xml:space="preserve"> (</w:t>
      </w:r>
      <w:r w:rsidR="008A4598" w:rsidRPr="00057A1C">
        <w:rPr>
          <w:sz w:val="20"/>
          <w:szCs w:val="20"/>
        </w:rPr>
        <w:t xml:space="preserve">Xavier Thévenot, </w:t>
      </w:r>
      <w:r w:rsidR="008A4598" w:rsidRPr="00057A1C">
        <w:rPr>
          <w:i/>
          <w:sz w:val="20"/>
          <w:szCs w:val="20"/>
        </w:rPr>
        <w:t>Repères éthiques pour un monde nouveau</w:t>
      </w:r>
      <w:r w:rsidR="008A4598" w:rsidRPr="00057A1C">
        <w:rPr>
          <w:sz w:val="20"/>
          <w:szCs w:val="20"/>
        </w:rPr>
        <w:t>, Salvator, 1982, p 32</w:t>
      </w:r>
      <w:r w:rsidR="008A4598">
        <w:rPr>
          <w:sz w:val="20"/>
          <w:szCs w:val="20"/>
        </w:rPr>
        <w:t>)</w:t>
      </w:r>
      <w:r>
        <w:t xml:space="preserve"> </w:t>
      </w:r>
      <w:r w:rsidR="007C19B7">
        <w:t>mais</w:t>
      </w:r>
      <w:r>
        <w:t xml:space="preserve"> « Pour la tradition biblique, le sexualité est </w:t>
      </w:r>
      <w:r>
        <w:rPr>
          <w:rFonts w:eastAsia="Arial Unicode MS" w:cs="Arial Unicode MS"/>
        </w:rPr>
        <w:t>le lieu d’une expérience ambiguë et par là redoutable</w:t>
      </w:r>
      <w:r>
        <w:rPr>
          <w:rStyle w:val="Marquenotebasdepage"/>
          <w:rFonts w:eastAsia="Arial Unicode MS" w:cs="Arial Unicode MS"/>
        </w:rPr>
        <w:footnoteReference w:id="1"/>
      </w:r>
      <w:r>
        <w:rPr>
          <w:rFonts w:eastAsia="Arial Unicode MS" w:cs="Arial Unicode MS"/>
        </w:rPr>
        <w:t> ».</w:t>
      </w:r>
    </w:p>
    <w:p w14:paraId="257491B8" w14:textId="79E075E1" w:rsidR="003A34FA" w:rsidRPr="00A00B35" w:rsidRDefault="00A91247" w:rsidP="00A00B35">
      <w:pPr>
        <w:spacing w:after="120"/>
        <w:jc w:val="both"/>
        <w:rPr>
          <w:sz w:val="20"/>
          <w:szCs w:val="20"/>
        </w:rPr>
      </w:pPr>
      <w:r>
        <w:t xml:space="preserve">« la Bible est en premier lieu </w:t>
      </w:r>
      <w:r w:rsidRPr="009A11AC">
        <w:rPr>
          <w:i/>
        </w:rPr>
        <w:t>un récit</w:t>
      </w:r>
      <w:r>
        <w:t xml:space="preserve"> de l’histoire de Dieu avec les hommes….un témoignage d’</w:t>
      </w:r>
      <w:r w:rsidR="00BE22FF">
        <w:t>une Révélation dans l’histoire</w:t>
      </w:r>
      <w:r>
        <w:t>…pas un réper</w:t>
      </w:r>
      <w:r w:rsidR="008A4598">
        <w:t xml:space="preserve">toire d’affirmations dogmatique </w:t>
      </w:r>
      <w:r>
        <w:t>».</w:t>
      </w:r>
      <w:r w:rsidR="008A4598">
        <w:t xml:space="preserve"> (</w:t>
      </w:r>
      <w:r w:rsidR="008A4598" w:rsidRPr="00222D94">
        <w:rPr>
          <w:sz w:val="20"/>
          <w:szCs w:val="20"/>
        </w:rPr>
        <w:t>Commission</w:t>
      </w:r>
      <w:r w:rsidR="008A4598" w:rsidRPr="00222D94">
        <w:rPr>
          <w:spacing w:val="-4"/>
          <w:sz w:val="20"/>
          <w:szCs w:val="20"/>
        </w:rPr>
        <w:t xml:space="preserve"> </w:t>
      </w:r>
      <w:r w:rsidR="008A4598" w:rsidRPr="00222D94">
        <w:rPr>
          <w:sz w:val="20"/>
          <w:szCs w:val="20"/>
        </w:rPr>
        <w:t>Biblique</w:t>
      </w:r>
      <w:r w:rsidR="008A4598" w:rsidRPr="00222D94">
        <w:rPr>
          <w:spacing w:val="-1"/>
          <w:sz w:val="20"/>
          <w:szCs w:val="20"/>
        </w:rPr>
        <w:t xml:space="preserve"> </w:t>
      </w:r>
      <w:r w:rsidR="008A4598" w:rsidRPr="00222D94">
        <w:rPr>
          <w:sz w:val="20"/>
          <w:szCs w:val="20"/>
        </w:rPr>
        <w:t>Pontificale,</w:t>
      </w:r>
      <w:r w:rsidR="008A4598" w:rsidRPr="00222D94">
        <w:rPr>
          <w:spacing w:val="-1"/>
          <w:sz w:val="20"/>
          <w:szCs w:val="20"/>
        </w:rPr>
        <w:t xml:space="preserve"> </w:t>
      </w:r>
      <w:r w:rsidR="008A4598" w:rsidRPr="00222D94">
        <w:rPr>
          <w:i/>
          <w:sz w:val="20"/>
          <w:szCs w:val="20"/>
        </w:rPr>
        <w:t>Qu’est-ce</w:t>
      </w:r>
      <w:r w:rsidR="008A4598" w:rsidRPr="00222D94">
        <w:rPr>
          <w:i/>
          <w:spacing w:val="-2"/>
          <w:sz w:val="20"/>
          <w:szCs w:val="20"/>
        </w:rPr>
        <w:t xml:space="preserve"> </w:t>
      </w:r>
      <w:r w:rsidR="008A4598" w:rsidRPr="00222D94">
        <w:rPr>
          <w:i/>
          <w:sz w:val="20"/>
          <w:szCs w:val="20"/>
        </w:rPr>
        <w:t>que</w:t>
      </w:r>
      <w:r w:rsidR="008A4598" w:rsidRPr="00222D94">
        <w:rPr>
          <w:i/>
          <w:spacing w:val="-2"/>
          <w:sz w:val="20"/>
          <w:szCs w:val="20"/>
        </w:rPr>
        <w:t xml:space="preserve"> </w:t>
      </w:r>
      <w:r w:rsidR="008A4598" w:rsidRPr="00222D94">
        <w:rPr>
          <w:i/>
          <w:sz w:val="20"/>
          <w:szCs w:val="20"/>
        </w:rPr>
        <w:t>l’homme ? Un itinéraire d’anthropologie biblique</w:t>
      </w:r>
      <w:r w:rsidR="008A4598" w:rsidRPr="00222D94">
        <w:rPr>
          <w:sz w:val="20"/>
          <w:szCs w:val="20"/>
        </w:rPr>
        <w:t>, préface du cardinal Luis Ladaria, trad. italien par Pi</w:t>
      </w:r>
      <w:r w:rsidR="008A4598">
        <w:rPr>
          <w:sz w:val="20"/>
          <w:szCs w:val="20"/>
        </w:rPr>
        <w:t xml:space="preserve">erre Debergé, Paris, Cerf, 2020, </w:t>
      </w:r>
      <w:r w:rsidR="008A4598" w:rsidRPr="00222D94">
        <w:rPr>
          <w:sz w:val="20"/>
          <w:szCs w:val="20"/>
        </w:rPr>
        <w:t>n°6</w:t>
      </w:r>
      <w:r w:rsidR="008A4598">
        <w:rPr>
          <w:sz w:val="20"/>
          <w:szCs w:val="20"/>
        </w:rPr>
        <w:t>)</w:t>
      </w:r>
    </w:p>
    <w:p w14:paraId="0EB311F7" w14:textId="5ADEA206" w:rsidR="00A91247" w:rsidRDefault="00A91247" w:rsidP="00A91247">
      <w:pPr>
        <w:spacing w:after="120"/>
        <w:jc w:val="both"/>
        <w:rPr>
          <w:sz w:val="20"/>
          <w:szCs w:val="20"/>
        </w:rPr>
      </w:pPr>
      <w:r>
        <w:t xml:space="preserve">Distinguer entre « ce qui est partie intégrante de la Révélation et ce qui, au contraire, est  une expression </w:t>
      </w:r>
      <w:r w:rsidRPr="00D035E2">
        <w:rPr>
          <w:i/>
        </w:rPr>
        <w:t>contingente</w:t>
      </w:r>
      <w:r>
        <w:rPr>
          <w:i/>
        </w:rPr>
        <w:t> </w:t>
      </w:r>
      <w:r>
        <w:t xml:space="preserve">». </w:t>
      </w:r>
      <w:r w:rsidR="008A4598">
        <w:t>(</w:t>
      </w:r>
      <w:r w:rsidR="008A4598" w:rsidRPr="00222D94">
        <w:rPr>
          <w:sz w:val="20"/>
          <w:szCs w:val="20"/>
        </w:rPr>
        <w:t>Commission</w:t>
      </w:r>
      <w:r w:rsidR="008A4598" w:rsidRPr="00222D94">
        <w:rPr>
          <w:spacing w:val="-4"/>
          <w:sz w:val="20"/>
          <w:szCs w:val="20"/>
        </w:rPr>
        <w:t xml:space="preserve"> </w:t>
      </w:r>
      <w:r w:rsidR="008A4598" w:rsidRPr="00222D94">
        <w:rPr>
          <w:sz w:val="20"/>
          <w:szCs w:val="20"/>
        </w:rPr>
        <w:t>Biblique</w:t>
      </w:r>
      <w:r w:rsidR="008A4598" w:rsidRPr="00222D94">
        <w:rPr>
          <w:spacing w:val="-1"/>
          <w:sz w:val="20"/>
          <w:szCs w:val="20"/>
        </w:rPr>
        <w:t xml:space="preserve"> </w:t>
      </w:r>
      <w:r w:rsidR="008A4598" w:rsidRPr="00222D94">
        <w:rPr>
          <w:sz w:val="20"/>
          <w:szCs w:val="20"/>
        </w:rPr>
        <w:t>Pontificale,</w:t>
      </w:r>
      <w:r w:rsidR="008A4598" w:rsidRPr="00222D94">
        <w:rPr>
          <w:spacing w:val="-1"/>
          <w:sz w:val="20"/>
          <w:szCs w:val="20"/>
        </w:rPr>
        <w:t xml:space="preserve"> </w:t>
      </w:r>
      <w:r w:rsidR="008A4598" w:rsidRPr="00222D94">
        <w:rPr>
          <w:i/>
          <w:sz w:val="20"/>
          <w:szCs w:val="20"/>
        </w:rPr>
        <w:t>Qu’est-ce</w:t>
      </w:r>
      <w:r w:rsidR="008A4598" w:rsidRPr="00222D94">
        <w:rPr>
          <w:i/>
          <w:spacing w:val="-2"/>
          <w:sz w:val="20"/>
          <w:szCs w:val="20"/>
        </w:rPr>
        <w:t xml:space="preserve"> </w:t>
      </w:r>
      <w:r w:rsidR="008A4598" w:rsidRPr="00222D94">
        <w:rPr>
          <w:i/>
          <w:sz w:val="20"/>
          <w:szCs w:val="20"/>
        </w:rPr>
        <w:t>que</w:t>
      </w:r>
      <w:r w:rsidR="008A4598" w:rsidRPr="00222D94">
        <w:rPr>
          <w:i/>
          <w:spacing w:val="-2"/>
          <w:sz w:val="20"/>
          <w:szCs w:val="20"/>
        </w:rPr>
        <w:t xml:space="preserve"> </w:t>
      </w:r>
      <w:r w:rsidR="008A4598" w:rsidRPr="00222D94">
        <w:rPr>
          <w:i/>
          <w:sz w:val="20"/>
          <w:szCs w:val="20"/>
        </w:rPr>
        <w:t>l’homme ? Un itinéraire d’anthropologie biblique</w:t>
      </w:r>
      <w:r w:rsidR="008A4598" w:rsidRPr="00222D94">
        <w:rPr>
          <w:sz w:val="20"/>
          <w:szCs w:val="20"/>
        </w:rPr>
        <w:t>, préface du cardinal Luis Ladaria, trad. italien par Pi</w:t>
      </w:r>
      <w:r w:rsidR="008A4598">
        <w:rPr>
          <w:sz w:val="20"/>
          <w:szCs w:val="20"/>
        </w:rPr>
        <w:t>erre Debergé, Paris, Cerf, 2020, n°5)</w:t>
      </w:r>
    </w:p>
    <w:p w14:paraId="1071C46B" w14:textId="498E7804" w:rsidR="00DD4AA9" w:rsidRPr="00432424" w:rsidRDefault="00DD4AA9" w:rsidP="00DD4AA9">
      <w:pPr>
        <w:spacing w:line="276" w:lineRule="auto"/>
        <w:jc w:val="both"/>
        <w:rPr>
          <w:rFonts w:ascii="Comic Sans MS" w:hAnsi="Comic Sans MS"/>
        </w:rPr>
      </w:pPr>
      <w:r>
        <w:rPr>
          <w:iCs/>
        </w:rPr>
        <w:t xml:space="preserve">Relire Gal 3,28 </w:t>
      </w:r>
      <w:r w:rsidRPr="00432424">
        <w:rPr>
          <w:iCs/>
        </w:rPr>
        <w:t xml:space="preserve">« Non au sens où l’altérité serait abolie dans un déni de vérité anthropologique. Mais parce que, dans le Christ, la relation entre les sexes cesse d’avoir pour destin la méconnaissance et l’hostilité. </w:t>
      </w:r>
      <w:r w:rsidRPr="00DD4AA9">
        <w:rPr>
          <w:bCs/>
          <w:iCs/>
        </w:rPr>
        <w:t>La relation à l’autre</w:t>
      </w:r>
      <w:r w:rsidRPr="00DD4AA9">
        <w:rPr>
          <w:iCs/>
        </w:rPr>
        <w:t>, assumée</w:t>
      </w:r>
      <w:r w:rsidRPr="00432424">
        <w:rPr>
          <w:iCs/>
        </w:rPr>
        <w:t xml:space="preserve"> dans la clarté du regard du fils, est désignée comme la vérité de la rencontre à laquelle hommes et femmes sont appelés »</w:t>
      </w:r>
    </w:p>
    <w:p w14:paraId="709EA01F" w14:textId="4738103C" w:rsidR="00DD4AA9" w:rsidRPr="00E8427B" w:rsidRDefault="00DD4AA9" w:rsidP="00E8427B">
      <w:pPr>
        <w:spacing w:after="120" w:line="276" w:lineRule="auto"/>
        <w:jc w:val="both"/>
        <w:rPr>
          <w:iCs/>
        </w:rPr>
      </w:pPr>
      <w:r>
        <w:t>(</w:t>
      </w:r>
      <w:r w:rsidRPr="00DD4AA9">
        <w:rPr>
          <w:iCs/>
          <w:sz w:val="20"/>
          <w:szCs w:val="20"/>
        </w:rPr>
        <w:t xml:space="preserve">Anne-Marie Pelletier, « Femmes dans une ecclésiologie intégrale. Surmonter l’invisibilité des femmes », </w:t>
      </w:r>
      <w:r w:rsidRPr="00DD4AA9">
        <w:rPr>
          <w:i/>
          <w:iCs/>
          <w:sz w:val="20"/>
          <w:szCs w:val="20"/>
        </w:rPr>
        <w:t>Transversalités</w:t>
      </w:r>
      <w:r w:rsidR="000229EB">
        <w:rPr>
          <w:iCs/>
          <w:sz w:val="20"/>
          <w:szCs w:val="20"/>
        </w:rPr>
        <w:t xml:space="preserve">, </w:t>
      </w:r>
      <w:r w:rsidRPr="00DD4AA9">
        <w:rPr>
          <w:iCs/>
          <w:sz w:val="20"/>
          <w:szCs w:val="20"/>
        </w:rPr>
        <w:t>2015, n° 133, p. 106</w:t>
      </w:r>
      <w:r>
        <w:rPr>
          <w:iCs/>
        </w:rPr>
        <w:t>)</w:t>
      </w:r>
    </w:p>
    <w:p w14:paraId="06C4E363" w14:textId="56589DC2" w:rsidR="00A91247" w:rsidRDefault="00A91247" w:rsidP="00A91247">
      <w:pPr>
        <w:jc w:val="both"/>
        <w:rPr>
          <w:b/>
        </w:rPr>
      </w:pPr>
      <w:r>
        <w:rPr>
          <w:b/>
        </w:rPr>
        <w:t xml:space="preserve">4. </w:t>
      </w:r>
      <w:r w:rsidR="003A34FA">
        <w:rPr>
          <w:b/>
        </w:rPr>
        <w:t>Un enjeu: valoriser la sexualité mais</w:t>
      </w:r>
      <w:r>
        <w:rPr>
          <w:b/>
        </w:rPr>
        <w:t xml:space="preserve"> sans idéalisation</w:t>
      </w:r>
    </w:p>
    <w:p w14:paraId="50EB255E" w14:textId="0CE65574" w:rsidR="003A34FA" w:rsidRPr="003A34FA" w:rsidRDefault="003A34FA" w:rsidP="00A91247">
      <w:pPr>
        <w:jc w:val="both"/>
        <w:rPr>
          <w:b/>
          <w:i/>
        </w:rPr>
      </w:pPr>
      <w:r>
        <w:rPr>
          <w:b/>
        </w:rPr>
        <w:t>41 L’unité d’</w:t>
      </w:r>
      <w:r w:rsidRPr="00054134">
        <w:rPr>
          <w:b/>
          <w:i/>
        </w:rPr>
        <w:t>Eros</w:t>
      </w:r>
      <w:r>
        <w:rPr>
          <w:b/>
          <w:i/>
        </w:rPr>
        <w:t xml:space="preserve"> et </w:t>
      </w:r>
      <w:r>
        <w:rPr>
          <w:b/>
        </w:rPr>
        <w:t>d’</w:t>
      </w:r>
      <w:r>
        <w:rPr>
          <w:b/>
          <w:i/>
        </w:rPr>
        <w:t>agape</w:t>
      </w:r>
      <w:r w:rsidRPr="00054134">
        <w:rPr>
          <w:b/>
          <w:i/>
        </w:rPr>
        <w:t xml:space="preserve"> </w:t>
      </w:r>
    </w:p>
    <w:p w14:paraId="15DDC6FD" w14:textId="4CD3A6F6" w:rsidR="00A91247" w:rsidRDefault="00A91247" w:rsidP="00151207">
      <w:pPr>
        <w:spacing w:after="120"/>
        <w:jc w:val="both"/>
      </w:pPr>
      <w:r>
        <w:t>- la sexualité</w:t>
      </w:r>
      <w:r w:rsidR="00E37E37">
        <w:t xml:space="preserve"> est </w:t>
      </w:r>
      <w:r>
        <w:t>désacralisée par le judaïsme puis</w:t>
      </w:r>
      <w:r w:rsidR="00E8427B">
        <w:t xml:space="preserve"> par</w:t>
      </w:r>
      <w:r>
        <w:t xml:space="preserve"> le christianisme  </w:t>
      </w:r>
    </w:p>
    <w:p w14:paraId="6B346525" w14:textId="4623275C" w:rsidR="003B3C48" w:rsidRDefault="003B3C48" w:rsidP="003B3C48">
      <w:pPr>
        <w:ind w:left="340"/>
        <w:jc w:val="both"/>
      </w:pPr>
      <w:r>
        <w:t xml:space="preserve">« Les deux grandioses premiers chapitres de la Genèse nous offrent l’image du couple humain dans sa réalité fondamentale. Dans ce texte initial de la Bible, brillent certaines affirmations décisives. La première, citée de façon synthétique par Jésus, déclare : « Dieu créa l'homme à son image, à l'image de Dieu il le créa, homme et femme il les créa » (1, 27). De manière surprenante, l’‘‘image de Dieu’’ tient lieu de parallèle explicatif précisément au couple ‘‘homme et femme’’. </w:t>
      </w:r>
    </w:p>
    <w:p w14:paraId="54192B2F" w14:textId="17045339" w:rsidR="003B3C48" w:rsidRDefault="003B3C48" w:rsidP="003B3C48">
      <w:pPr>
        <w:ind w:left="340"/>
        <w:jc w:val="both"/>
      </w:pPr>
      <w:r>
        <w:t>Cela signifie-t-il que Dieu est lui-même sexué ou qu’il a une compagne divine, comme le croyaient certaines religions antiques ? Évidemment non, car nous savons avec quelle clarté la Bible a rejeté comme idolâtres ces croyances répandues parmi les Cananéens de la Terre Sainte » ( AL 10)</w:t>
      </w:r>
    </w:p>
    <w:p w14:paraId="317E51FE" w14:textId="77777777" w:rsidR="003B3C48" w:rsidRPr="00151207" w:rsidRDefault="003B3C48" w:rsidP="00151207">
      <w:pPr>
        <w:spacing w:after="120"/>
        <w:jc w:val="both"/>
      </w:pPr>
    </w:p>
    <w:p w14:paraId="2017BB00" w14:textId="349B80C0" w:rsidR="00E37E37" w:rsidRPr="00E8427B" w:rsidRDefault="00E8427B" w:rsidP="00A91247">
      <w:pPr>
        <w:widowControl w:val="0"/>
        <w:autoSpaceDE w:val="0"/>
        <w:autoSpaceDN w:val="0"/>
        <w:adjustRightInd w:val="0"/>
        <w:jc w:val="both"/>
        <w:rPr>
          <w:rFonts w:eastAsia="Arial Unicode MS" w:cs="Arial Unicode MS"/>
          <w:b/>
        </w:rPr>
      </w:pPr>
      <w:r w:rsidRPr="00E8427B">
        <w:rPr>
          <w:rFonts w:eastAsia="Arial Unicode MS" w:cs="Arial Unicode MS"/>
          <w:b/>
        </w:rPr>
        <w:t>4.2 La</w:t>
      </w:r>
      <w:r w:rsidR="00A91247" w:rsidRPr="00E8427B">
        <w:rPr>
          <w:rFonts w:eastAsia="Arial Unicode MS" w:cs="Arial Unicode MS"/>
          <w:b/>
        </w:rPr>
        <w:t xml:space="preserve"> sexualité est un bien…</w:t>
      </w:r>
      <w:r w:rsidR="00E37E37" w:rsidRPr="00E8427B">
        <w:rPr>
          <w:rFonts w:eastAsia="Arial Unicode MS" w:cs="Arial Unicode MS"/>
          <w:b/>
        </w:rPr>
        <w:t xml:space="preserve"> </w:t>
      </w:r>
    </w:p>
    <w:p w14:paraId="20BD8C76" w14:textId="63FFCE58" w:rsidR="00A91247" w:rsidRDefault="00123D35" w:rsidP="00A91247">
      <w:pPr>
        <w:widowControl w:val="0"/>
        <w:autoSpaceDE w:val="0"/>
        <w:autoSpaceDN w:val="0"/>
        <w:adjustRightInd w:val="0"/>
        <w:jc w:val="both"/>
        <w:rPr>
          <w:rFonts w:eastAsia="Arial Unicode MS" w:cs="Arial Unicode MS"/>
        </w:rPr>
      </w:pPr>
      <w:r>
        <w:rPr>
          <w:rFonts w:eastAsia="Arial Unicode MS" w:cs="Arial Unicode MS"/>
        </w:rPr>
        <w:t>« D</w:t>
      </w:r>
      <w:r w:rsidRPr="00123D35">
        <w:rPr>
          <w:rFonts w:eastAsia="Arial Unicode MS" w:cs="Arial Unicode MS"/>
        </w:rPr>
        <w:t>ieu lui-même a créé la sexualité qui est un don merveilleux fait à ses créatures</w:t>
      </w:r>
      <w:r>
        <w:rPr>
          <w:rFonts w:eastAsia="Arial Unicode MS" w:cs="Arial Unicode MS"/>
        </w:rPr>
        <w:t> »</w:t>
      </w:r>
      <w:r w:rsidRPr="00123D35">
        <w:rPr>
          <w:rFonts w:eastAsia="Arial Unicode MS" w:cs="Arial Unicode MS"/>
        </w:rPr>
        <w:t>.</w:t>
      </w:r>
      <w:r>
        <w:rPr>
          <w:rFonts w:eastAsia="Arial Unicode MS" w:cs="Arial Unicode MS"/>
        </w:rPr>
        <w:t xml:space="preserve"> </w:t>
      </w:r>
      <w:r w:rsidR="00E37E37" w:rsidRPr="000C10A6">
        <w:rPr>
          <w:rFonts w:eastAsia="Arial Unicode MS" w:cs="Arial Unicode MS"/>
        </w:rPr>
        <w:t>(AL 150)</w:t>
      </w:r>
    </w:p>
    <w:p w14:paraId="2BDC6E6B" w14:textId="4A742EBE" w:rsidR="00E37E37" w:rsidRDefault="00E37E37" w:rsidP="00A00B35">
      <w:pPr>
        <w:widowControl w:val="0"/>
        <w:autoSpaceDE w:val="0"/>
        <w:autoSpaceDN w:val="0"/>
        <w:adjustRightInd w:val="0"/>
        <w:spacing w:after="120"/>
        <w:jc w:val="both"/>
        <w:rPr>
          <w:rFonts w:eastAsia="Arial Unicode MS" w:cs="Arial Unicode MS"/>
        </w:rPr>
      </w:pPr>
      <w:r>
        <w:rPr>
          <w:rFonts w:eastAsia="Arial Unicode MS" w:cs="Arial Unicode MS"/>
        </w:rPr>
        <w:t xml:space="preserve">Forme de </w:t>
      </w:r>
      <w:r w:rsidR="00A91247">
        <w:rPr>
          <w:rFonts w:eastAsia="Arial Unicode MS" w:cs="Arial Unicode MS"/>
        </w:rPr>
        <w:t>participation à la bénédiction créatrice de Dieu</w:t>
      </w:r>
    </w:p>
    <w:p w14:paraId="107FABE9" w14:textId="62C92F59" w:rsidR="00A91247" w:rsidRDefault="00E37E37" w:rsidP="00A00B35">
      <w:pPr>
        <w:jc w:val="both"/>
        <w:rPr>
          <w:sz w:val="20"/>
          <w:szCs w:val="20"/>
        </w:rPr>
      </w:pPr>
      <w:r>
        <w:t xml:space="preserve">Benoit XVI </w:t>
      </w:r>
      <w:r w:rsidR="00A91247" w:rsidRPr="001F552D">
        <w:t>affirme l’unité</w:t>
      </w:r>
      <w:r w:rsidR="00A91247">
        <w:t xml:space="preserve"> des formes d’amour que sont </w:t>
      </w:r>
      <w:r w:rsidR="00A91247" w:rsidRPr="001F552D">
        <w:t>Eros et Agape</w:t>
      </w:r>
      <w:r w:rsidR="00E8427B">
        <w:t> :</w:t>
      </w:r>
    </w:p>
    <w:p w14:paraId="7057F328" w14:textId="3631C77C" w:rsidR="00E8427B" w:rsidRDefault="00A91247" w:rsidP="00E8427B">
      <w:pPr>
        <w:spacing w:after="120"/>
        <w:jc w:val="both"/>
        <w:rPr>
          <w:rFonts w:eastAsia="Times New Roman" w:cs="Tahoma"/>
          <w:color w:val="000000"/>
          <w:sz w:val="22"/>
          <w:szCs w:val="22"/>
          <w:shd w:val="clear" w:color="auto" w:fill="FFFFFF"/>
        </w:rPr>
      </w:pPr>
      <w:r>
        <w:rPr>
          <w:rFonts w:eastAsia="Times New Roman" w:cs="Tahoma"/>
          <w:color w:val="000000"/>
          <w:shd w:val="clear" w:color="auto" w:fill="FFFFFF"/>
        </w:rPr>
        <w:t>« </w:t>
      </w:r>
      <w:r w:rsidRPr="0093000D">
        <w:rPr>
          <w:rFonts w:eastAsia="Times New Roman" w:cs="Tahoma"/>
          <w:color w:val="000000"/>
          <w:shd w:val="clear" w:color="auto" w:fill="FFFFFF"/>
        </w:rPr>
        <w:t>En réalité, </w:t>
      </w:r>
      <w:r w:rsidRPr="0093000D">
        <w:rPr>
          <w:rFonts w:eastAsia="Times New Roman" w:cs="Tahoma"/>
          <w:i/>
          <w:iCs/>
          <w:color w:val="000000"/>
        </w:rPr>
        <w:t>eros</w:t>
      </w:r>
      <w:r w:rsidRPr="0093000D">
        <w:rPr>
          <w:rFonts w:eastAsia="Times New Roman" w:cs="Tahoma"/>
          <w:color w:val="000000"/>
          <w:shd w:val="clear" w:color="auto" w:fill="FFFFFF"/>
        </w:rPr>
        <w:t> et </w:t>
      </w:r>
      <w:r w:rsidRPr="0093000D">
        <w:rPr>
          <w:rFonts w:eastAsia="Times New Roman" w:cs="Tahoma"/>
          <w:i/>
          <w:iCs/>
          <w:color w:val="000000"/>
        </w:rPr>
        <w:t>agapè</w:t>
      </w:r>
      <w:r w:rsidRPr="0093000D">
        <w:rPr>
          <w:rFonts w:eastAsia="Times New Roman" w:cs="Tahoma"/>
          <w:color w:val="000000"/>
          <w:shd w:val="clear" w:color="auto" w:fill="FFFFFF"/>
        </w:rPr>
        <w:t> – amour ascendant et amour descendant – ne se laissent jamais séparer complètement l’un de l’autre. Plus ces deux formes d’amour, même dans des dimensions différentes, trouvent leur juste unité dans l’unique réalité de l’amour, plus se réalise la véritable nature de l’amour en général</w:t>
      </w:r>
      <w:r>
        <w:rPr>
          <w:rFonts w:eastAsia="Times New Roman" w:cs="Tahoma"/>
          <w:color w:val="000000"/>
          <w:shd w:val="clear" w:color="auto" w:fill="FFFFFF"/>
        </w:rPr>
        <w:t> »</w:t>
      </w:r>
      <w:r w:rsidRPr="00FB7ABD">
        <w:rPr>
          <w:rFonts w:ascii="Tahoma" w:eastAsia="Times New Roman" w:hAnsi="Tahoma" w:cs="Tahoma"/>
          <w:color w:val="000000"/>
          <w:sz w:val="22"/>
          <w:szCs w:val="22"/>
          <w:shd w:val="clear" w:color="auto" w:fill="FFFFFF"/>
        </w:rPr>
        <w:t>.</w:t>
      </w:r>
      <w:r>
        <w:rPr>
          <w:rFonts w:ascii="Tahoma" w:eastAsia="Times New Roman" w:hAnsi="Tahoma" w:cs="Tahoma"/>
          <w:color w:val="000000"/>
          <w:sz w:val="22"/>
          <w:szCs w:val="22"/>
          <w:shd w:val="clear" w:color="auto" w:fill="FFFFFF"/>
        </w:rPr>
        <w:t xml:space="preserve"> (</w:t>
      </w:r>
      <w:r w:rsidR="007C19B7" w:rsidRPr="001F552D">
        <w:rPr>
          <w:i/>
        </w:rPr>
        <w:t>Deus Caritas est</w:t>
      </w:r>
      <w:r w:rsidR="007C19B7" w:rsidRPr="0093000D">
        <w:rPr>
          <w:rFonts w:eastAsia="Times New Roman" w:cs="Tahoma"/>
          <w:color w:val="000000"/>
          <w:sz w:val="22"/>
          <w:szCs w:val="22"/>
          <w:shd w:val="clear" w:color="auto" w:fill="FFFFFF"/>
        </w:rPr>
        <w:t xml:space="preserve"> </w:t>
      </w:r>
      <w:r w:rsidRPr="0093000D">
        <w:rPr>
          <w:rFonts w:eastAsia="Times New Roman" w:cs="Tahoma"/>
          <w:color w:val="000000"/>
          <w:sz w:val="22"/>
          <w:szCs w:val="22"/>
          <w:shd w:val="clear" w:color="auto" w:fill="FFFFFF"/>
        </w:rPr>
        <w:t>n° 7</w:t>
      </w:r>
      <w:r>
        <w:rPr>
          <w:rFonts w:eastAsia="Times New Roman" w:cs="Tahoma"/>
          <w:color w:val="000000"/>
          <w:sz w:val="22"/>
          <w:szCs w:val="22"/>
          <w:shd w:val="clear" w:color="auto" w:fill="FFFFFF"/>
        </w:rPr>
        <w:t>)</w:t>
      </w:r>
    </w:p>
    <w:p w14:paraId="0EA1C920" w14:textId="79183F70" w:rsidR="00E8427B" w:rsidRDefault="00E8427B" w:rsidP="00E8427B">
      <w:pPr>
        <w:spacing w:after="240"/>
        <w:jc w:val="both"/>
        <w:rPr>
          <w:rFonts w:eastAsia="Arial Unicode MS" w:cs="Arial Unicode MS"/>
        </w:rPr>
      </w:pPr>
      <w:r w:rsidRPr="00E8427B">
        <w:rPr>
          <w:rFonts w:eastAsia="Arial Unicode MS" w:cs="Arial Unicode MS"/>
        </w:rPr>
        <w:t xml:space="preserve"> </w:t>
      </w:r>
      <w:r w:rsidRPr="000C10A6">
        <w:rPr>
          <w:rFonts w:eastAsia="Arial Unicode MS" w:cs="Arial Unicode MS"/>
        </w:rPr>
        <w:t>« l’érotisme est une manifestation spécifiquement humaine de la sexualité » (AL 151).</w:t>
      </w:r>
    </w:p>
    <w:p w14:paraId="6FAD799C" w14:textId="3CC8D6B4" w:rsidR="00E8427B" w:rsidRPr="00151207" w:rsidRDefault="00E8427B" w:rsidP="00E8427B">
      <w:pPr>
        <w:spacing w:after="120"/>
        <w:jc w:val="both"/>
        <w:rPr>
          <w:rFonts w:eastAsia="Arial Unicode MS" w:cs="Arial Unicode MS"/>
        </w:rPr>
      </w:pPr>
      <w:r w:rsidRPr="000C10A6">
        <w:rPr>
          <w:rFonts w:eastAsia="Arial Unicode MS" w:cs="Arial Unicode MS"/>
        </w:rPr>
        <w:t xml:space="preserve"> </w:t>
      </w:r>
      <w:r>
        <w:rPr>
          <w:rFonts w:eastAsia="Arial Unicode MS" w:cs="Arial Unicode MS"/>
        </w:rPr>
        <w:t>« </w:t>
      </w:r>
      <w:r w:rsidRPr="000C10A6">
        <w:rPr>
          <w:rFonts w:eastAsia="Arial Unicode MS" w:cs="Arial Unicode MS"/>
        </w:rPr>
        <w:t>L</w:t>
      </w:r>
      <w:r>
        <w:rPr>
          <w:rFonts w:eastAsia="Arial Unicode MS" w:cs="Arial Unicode MS"/>
        </w:rPr>
        <w:t>a dimension érotique de l’amour</w:t>
      </w:r>
      <w:r>
        <w:rPr>
          <w:rFonts w:eastAsia="Arial Unicode MS" w:cs="Arial Unicode MS"/>
        </w:rPr>
        <w:t>…</w:t>
      </w:r>
      <w:r>
        <w:rPr>
          <w:rFonts w:eastAsia="Arial Unicode MS" w:cs="Arial Unicode MS"/>
        </w:rPr>
        <w:t xml:space="preserve"> </w:t>
      </w:r>
      <w:r>
        <w:rPr>
          <w:rFonts w:eastAsia="Arial Unicode MS" w:cs="Arial Unicode MS"/>
        </w:rPr>
        <w:t xml:space="preserve">est comme </w:t>
      </w:r>
      <w:r w:rsidRPr="000C10A6">
        <w:rPr>
          <w:rFonts w:eastAsia="Arial Unicode MS" w:cs="Arial Unicode MS"/>
        </w:rPr>
        <w:t>un don de Dieu qui embellit la rencontre des époux</w:t>
      </w:r>
      <w:r>
        <w:rPr>
          <w:rFonts w:eastAsia="Arial Unicode MS" w:cs="Arial Unicode MS"/>
        </w:rPr>
        <w:t> »</w:t>
      </w:r>
      <w:r w:rsidRPr="000C10A6">
        <w:rPr>
          <w:rFonts w:eastAsia="Arial Unicode MS" w:cs="Arial Unicode MS"/>
        </w:rPr>
        <w:t xml:space="preserve">. (AL 152), au « service de l’amitié conjugale » (AL 156). </w:t>
      </w:r>
    </w:p>
    <w:p w14:paraId="0442D95E" w14:textId="26AFB3A7" w:rsidR="00A91247" w:rsidRPr="00151207" w:rsidRDefault="00A91247" w:rsidP="00151207">
      <w:pPr>
        <w:spacing w:after="120"/>
        <w:rPr>
          <w:rFonts w:eastAsia="Times New Roman" w:cs="Tahoma"/>
          <w:color w:val="000000"/>
          <w:sz w:val="22"/>
          <w:szCs w:val="22"/>
          <w:shd w:val="clear" w:color="auto" w:fill="FFFFFF"/>
        </w:rPr>
      </w:pPr>
    </w:p>
    <w:p w14:paraId="097DD9BF" w14:textId="40FB2678" w:rsidR="00A91247" w:rsidRPr="00A00B35" w:rsidRDefault="003A34FA" w:rsidP="00A91247">
      <w:pPr>
        <w:widowControl w:val="0"/>
        <w:autoSpaceDE w:val="0"/>
        <w:autoSpaceDN w:val="0"/>
        <w:adjustRightInd w:val="0"/>
        <w:jc w:val="both"/>
        <w:rPr>
          <w:rFonts w:eastAsia="Arial Unicode MS" w:cs="Arial Unicode MS"/>
          <w:b/>
          <w:sz w:val="22"/>
          <w:szCs w:val="22"/>
        </w:rPr>
      </w:pPr>
      <w:r w:rsidRPr="00054134">
        <w:rPr>
          <w:b/>
          <w:i/>
        </w:rPr>
        <w:t>4</w:t>
      </w:r>
      <w:r>
        <w:rPr>
          <w:b/>
          <w:i/>
        </w:rPr>
        <w:t>.</w:t>
      </w:r>
      <w:r w:rsidR="00E8427B">
        <w:rPr>
          <w:b/>
          <w:i/>
        </w:rPr>
        <w:t xml:space="preserve">3 </w:t>
      </w:r>
      <w:r>
        <w:rPr>
          <w:b/>
          <w:i/>
        </w:rPr>
        <w:t xml:space="preserve">. </w:t>
      </w:r>
      <w:r>
        <w:rPr>
          <w:b/>
        </w:rPr>
        <w:t xml:space="preserve"> U</w:t>
      </w:r>
      <w:r w:rsidRPr="00054134">
        <w:rPr>
          <w:b/>
        </w:rPr>
        <w:t xml:space="preserve">ne vision relationnelle de la sexualité, ancrée dans la réalité </w:t>
      </w:r>
    </w:p>
    <w:p w14:paraId="5E1DEBBA" w14:textId="7FE1926D" w:rsidR="00A91247" w:rsidRDefault="00A91247" w:rsidP="00151207">
      <w:pPr>
        <w:widowControl w:val="0"/>
        <w:autoSpaceDE w:val="0"/>
        <w:autoSpaceDN w:val="0"/>
        <w:adjustRightInd w:val="0"/>
        <w:jc w:val="both"/>
        <w:rPr>
          <w:rFonts w:eastAsia="Arial Unicode MS" w:cs="Arial Unicode MS"/>
        </w:rPr>
      </w:pPr>
      <w:r>
        <w:rPr>
          <w:rFonts w:eastAsia="Arial Unicode MS" w:cs="Arial Unicode MS"/>
        </w:rPr>
        <w:t>-…</w:t>
      </w:r>
      <w:bookmarkStart w:id="0" w:name="_GoBack"/>
      <w:bookmarkEnd w:id="0"/>
      <w:r>
        <w:rPr>
          <w:rFonts w:eastAsia="Arial Unicode MS" w:cs="Arial Unicode MS"/>
        </w:rPr>
        <w:t xml:space="preserve"> lieu possible de violence et manipulation</w:t>
      </w:r>
    </w:p>
    <w:p w14:paraId="3CE9229A" w14:textId="77777777" w:rsidR="00A91247" w:rsidRDefault="00A91247" w:rsidP="00A91247">
      <w:pPr>
        <w:widowControl w:val="0"/>
        <w:autoSpaceDE w:val="0"/>
        <w:autoSpaceDN w:val="0"/>
        <w:adjustRightInd w:val="0"/>
        <w:jc w:val="both"/>
        <w:rPr>
          <w:rFonts w:eastAsia="Arial Unicode MS" w:cs="Arial Unicode MS"/>
        </w:rPr>
      </w:pPr>
      <w:r>
        <w:rPr>
          <w:rFonts w:eastAsia="Arial Unicode MS" w:cs="Arial Unicode MS"/>
        </w:rPr>
        <w:t xml:space="preserve">« Même dans le mariage </w:t>
      </w:r>
      <w:r w:rsidRPr="004C3AC9">
        <w:rPr>
          <w:rFonts w:eastAsia="Arial Unicode MS" w:cs="Arial Unicode MS"/>
        </w:rPr>
        <w:t>la sexualité peut devenir une source de souffrance et de manipulation » (AL 154</w:t>
      </w:r>
      <w:r w:rsidRPr="000C10A6">
        <w:rPr>
          <w:rFonts w:eastAsia="Arial Unicode MS" w:cs="Arial Unicode MS"/>
        </w:rPr>
        <w:t>)</w:t>
      </w:r>
    </w:p>
    <w:p w14:paraId="56E1343A" w14:textId="698A5B09" w:rsidR="00A91247" w:rsidRDefault="007C19B7" w:rsidP="00A00B35">
      <w:pPr>
        <w:spacing w:after="120"/>
        <w:jc w:val="both"/>
        <w:rPr>
          <w:rFonts w:eastAsia="Arial Unicode MS" w:cs="Arial Unicode MS"/>
        </w:rPr>
      </w:pPr>
      <w:r>
        <w:rPr>
          <w:rFonts w:eastAsia="Arial Unicode MS" w:cs="Arial Unicode MS"/>
        </w:rPr>
        <w:t>« R</w:t>
      </w:r>
      <w:r w:rsidR="00A91247" w:rsidRPr="000C10A6">
        <w:rPr>
          <w:rFonts w:eastAsia="Arial Unicode MS" w:cs="Arial Unicode MS"/>
        </w:rPr>
        <w:t>ejet de toute forme de soumission sexuelle</w:t>
      </w:r>
      <w:r>
        <w:rPr>
          <w:rFonts w:eastAsia="Arial Unicode MS" w:cs="Arial Unicode MS"/>
        </w:rPr>
        <w:t> »</w:t>
      </w:r>
      <w:r w:rsidR="00A91247" w:rsidRPr="000C10A6">
        <w:rPr>
          <w:rFonts w:eastAsia="Arial Unicode MS" w:cs="Arial Unicode MS"/>
        </w:rPr>
        <w:t xml:space="preserve"> (AL 156). </w:t>
      </w:r>
    </w:p>
    <w:p w14:paraId="6CE2593A" w14:textId="7730C913" w:rsidR="00A91247" w:rsidRPr="00B647BC" w:rsidRDefault="00A91247" w:rsidP="00A91247">
      <w:pPr>
        <w:widowControl w:val="0"/>
        <w:autoSpaceDE w:val="0"/>
        <w:autoSpaceDN w:val="0"/>
        <w:adjustRightInd w:val="0"/>
        <w:spacing w:after="240"/>
        <w:jc w:val="both"/>
        <w:rPr>
          <w:rFonts w:eastAsia="Arial Unicode MS" w:cs="Arial Unicode MS"/>
        </w:rPr>
      </w:pPr>
      <w:r w:rsidRPr="000C10A6">
        <w:rPr>
          <w:rFonts w:eastAsia="Arial Unicode MS" w:cs="Arial Unicode MS"/>
        </w:rPr>
        <w:t xml:space="preserve">« L’idéal du couple ne peut pas se définir seulement comme une donation généreuse et sacrifiée, où chacun renonce à tout besoin personnel et se préoccupe seulement de faire du bien à l’autre sans aucune satisfaction. Rappelons qu’un véritable amour sait aussi </w:t>
      </w:r>
      <w:r w:rsidRPr="00B647BC">
        <w:rPr>
          <w:rFonts w:eastAsia="Arial Unicode MS" w:cs="Arial Unicode MS"/>
        </w:rPr>
        <w:t xml:space="preserve">recevoir </w:t>
      </w:r>
      <w:r w:rsidRPr="000C10A6">
        <w:rPr>
          <w:rFonts w:eastAsia="Arial Unicode MS" w:cs="Arial Unicode MS"/>
        </w:rPr>
        <w:t>de l’autre, qu’il est capable de s’accepter comme</w:t>
      </w:r>
      <w:r w:rsidRPr="00B647BC">
        <w:rPr>
          <w:rFonts w:eastAsia="Arial Unicode MS" w:cs="Arial Unicode MS"/>
        </w:rPr>
        <w:t xml:space="preserve"> vulnérable</w:t>
      </w:r>
      <w:r w:rsidRPr="000C10A6">
        <w:rPr>
          <w:rFonts w:eastAsia="Arial Unicode MS" w:cs="Arial Unicode MS"/>
        </w:rPr>
        <w:t xml:space="preserve"> et ayant des besoins, qu’il ne renonce pas à accueillir avec sincérité et joyeuse gratitude les expressions corporelles de l’amour à travers la caresse, l’étreinte, le baiser et l’union sexuelle ». (AL 157). </w:t>
      </w:r>
    </w:p>
    <w:p w14:paraId="3BC3958E" w14:textId="3E598361" w:rsidR="0093000D" w:rsidRPr="001C78A9" w:rsidRDefault="00A91247" w:rsidP="00D74167">
      <w:pPr>
        <w:jc w:val="both"/>
      </w:pPr>
      <w:r w:rsidRPr="00176237">
        <w:t>CCL</w:t>
      </w:r>
      <w:r w:rsidR="00D74167">
        <w:t> :</w:t>
      </w:r>
      <w:r w:rsidRPr="00176237">
        <w:t xml:space="preserve"> </w:t>
      </w:r>
      <w:r w:rsidR="00D74167">
        <w:t>c</w:t>
      </w:r>
      <w:r>
        <w:t>e</w:t>
      </w:r>
      <w:r w:rsidRPr="00176237">
        <w:t xml:space="preserve"> n’est pas le monde animal qui peut donner le sens humain de la sexualité.</w:t>
      </w:r>
      <w:r>
        <w:t xml:space="preserve"> En régime chrétien,</w:t>
      </w:r>
      <w:r w:rsidR="00130008">
        <w:t xml:space="preserve"> une</w:t>
      </w:r>
      <w:r w:rsidRPr="00176237">
        <w:t xml:space="preserve"> vision juste de la sexualité est centrée sur la qualité de relation à l’autre avec les valeurs fondamentales</w:t>
      </w:r>
      <w:r w:rsidR="00D74167">
        <w:t xml:space="preserve"> telles</w:t>
      </w:r>
      <w:r w:rsidR="00130008">
        <w:t>:</w:t>
      </w:r>
      <w:r w:rsidRPr="00176237">
        <w:t xml:space="preserve"> l’alliance, la réciprocité, le respect de la dignité de l’autre</w:t>
      </w:r>
      <w:r>
        <w:t>, (en lien avec la fidélité), le respect de</w:t>
      </w:r>
      <w:r w:rsidRPr="00176237">
        <w:t xml:space="preserve"> la justice dans les relations</w:t>
      </w:r>
      <w:r w:rsidR="00D74167">
        <w:t xml:space="preserve">, </w:t>
      </w:r>
      <w:r w:rsidRPr="00176237">
        <w:t xml:space="preserve">la communion et la donation des personnes. </w:t>
      </w:r>
    </w:p>
    <w:sectPr w:rsidR="0093000D" w:rsidRPr="001C78A9" w:rsidSect="00E32CDC">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88572" w14:textId="77777777" w:rsidR="0024467B" w:rsidRDefault="0024467B" w:rsidP="00483264">
      <w:r>
        <w:separator/>
      </w:r>
    </w:p>
  </w:endnote>
  <w:endnote w:type="continuationSeparator" w:id="0">
    <w:p w14:paraId="2C6722B2" w14:textId="77777777" w:rsidR="0024467B" w:rsidRDefault="0024467B" w:rsidP="0048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91DE1" w14:textId="77777777" w:rsidR="0024467B" w:rsidRDefault="0024467B" w:rsidP="009055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D83ADA3" w14:textId="77777777" w:rsidR="0024467B" w:rsidRDefault="0024467B" w:rsidP="0090551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D95DE" w14:textId="77777777" w:rsidR="0024467B" w:rsidRDefault="0024467B" w:rsidP="009055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427B">
      <w:rPr>
        <w:rStyle w:val="Numrodepage"/>
        <w:noProof/>
      </w:rPr>
      <w:t>1</w:t>
    </w:r>
    <w:r>
      <w:rPr>
        <w:rStyle w:val="Numrodepage"/>
      </w:rPr>
      <w:fldChar w:fldCharType="end"/>
    </w:r>
  </w:p>
  <w:p w14:paraId="20C10F1D" w14:textId="77777777" w:rsidR="0024467B" w:rsidRDefault="0024467B" w:rsidP="0090551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34E15" w14:textId="77777777" w:rsidR="0024467B" w:rsidRDefault="0024467B" w:rsidP="00483264">
      <w:r>
        <w:separator/>
      </w:r>
    </w:p>
  </w:footnote>
  <w:footnote w:type="continuationSeparator" w:id="0">
    <w:p w14:paraId="5CB67396" w14:textId="77777777" w:rsidR="0024467B" w:rsidRDefault="0024467B" w:rsidP="00483264">
      <w:r>
        <w:continuationSeparator/>
      </w:r>
    </w:p>
  </w:footnote>
  <w:footnote w:id="1">
    <w:p w14:paraId="284088D5" w14:textId="77777777" w:rsidR="0024467B" w:rsidRPr="009E3633" w:rsidRDefault="0024467B" w:rsidP="00A91247">
      <w:pPr>
        <w:pStyle w:val="Notedebasdepage"/>
      </w:pPr>
      <w:r>
        <w:rPr>
          <w:rStyle w:val="Marquenotebasdepage"/>
        </w:rPr>
        <w:footnoteRef/>
      </w:r>
      <w:r>
        <w:t xml:space="preserve"> </w:t>
      </w:r>
      <w:r w:rsidRPr="009E3633">
        <w:rPr>
          <w:sz w:val="20"/>
          <w:szCs w:val="20"/>
        </w:rPr>
        <w:t xml:space="preserve">Eric FUCHS, </w:t>
      </w:r>
      <w:r w:rsidRPr="009E3633">
        <w:rPr>
          <w:i/>
          <w:sz w:val="20"/>
          <w:szCs w:val="20"/>
        </w:rPr>
        <w:t>Le désir et la tendresse</w:t>
      </w:r>
      <w:r>
        <w:rPr>
          <w:sz w:val="20"/>
          <w:szCs w:val="20"/>
        </w:rPr>
        <w:t>, Labor et fides, 1989, p 31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0CA1A" w14:textId="448CB051" w:rsidR="0024467B" w:rsidRDefault="0024467B">
    <w:pPr>
      <w:pStyle w:val="En-tte"/>
    </w:pPr>
    <w:r>
      <w:t>CIF 21 mai 2024, Oranne de Mautort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5AA7"/>
    <w:multiLevelType w:val="hybridMultilevel"/>
    <w:tmpl w:val="17BE17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9ED"/>
    <w:rsid w:val="000229EB"/>
    <w:rsid w:val="00057A1C"/>
    <w:rsid w:val="000815EE"/>
    <w:rsid w:val="00091178"/>
    <w:rsid w:val="000D64FE"/>
    <w:rsid w:val="000E37BA"/>
    <w:rsid w:val="00123D35"/>
    <w:rsid w:val="00130008"/>
    <w:rsid w:val="00142896"/>
    <w:rsid w:val="00151207"/>
    <w:rsid w:val="0018443C"/>
    <w:rsid w:val="00191E80"/>
    <w:rsid w:val="001C78A9"/>
    <w:rsid w:val="001F552D"/>
    <w:rsid w:val="00215659"/>
    <w:rsid w:val="00222D94"/>
    <w:rsid w:val="00225EB9"/>
    <w:rsid w:val="002338AB"/>
    <w:rsid w:val="0024467B"/>
    <w:rsid w:val="0027612A"/>
    <w:rsid w:val="00340C25"/>
    <w:rsid w:val="003A34FA"/>
    <w:rsid w:val="003A39DA"/>
    <w:rsid w:val="003A75F4"/>
    <w:rsid w:val="003B3C48"/>
    <w:rsid w:val="00400BC7"/>
    <w:rsid w:val="00422B9A"/>
    <w:rsid w:val="00483264"/>
    <w:rsid w:val="004C3AC9"/>
    <w:rsid w:val="004F19ED"/>
    <w:rsid w:val="00531842"/>
    <w:rsid w:val="00543B77"/>
    <w:rsid w:val="00655304"/>
    <w:rsid w:val="0065739A"/>
    <w:rsid w:val="006F5A7F"/>
    <w:rsid w:val="007C19B7"/>
    <w:rsid w:val="007C5A60"/>
    <w:rsid w:val="00885BB5"/>
    <w:rsid w:val="008A4598"/>
    <w:rsid w:val="008F3F73"/>
    <w:rsid w:val="00900C20"/>
    <w:rsid w:val="00905513"/>
    <w:rsid w:val="0093000D"/>
    <w:rsid w:val="009932DB"/>
    <w:rsid w:val="00997060"/>
    <w:rsid w:val="009A11AC"/>
    <w:rsid w:val="009B62A2"/>
    <w:rsid w:val="009C2389"/>
    <w:rsid w:val="009C3DA9"/>
    <w:rsid w:val="009E3633"/>
    <w:rsid w:val="00A00B35"/>
    <w:rsid w:val="00A70018"/>
    <w:rsid w:val="00A91247"/>
    <w:rsid w:val="00AA6ED6"/>
    <w:rsid w:val="00AD0DC4"/>
    <w:rsid w:val="00B647BC"/>
    <w:rsid w:val="00BD7A1B"/>
    <w:rsid w:val="00BE22FF"/>
    <w:rsid w:val="00C00E42"/>
    <w:rsid w:val="00C81BB6"/>
    <w:rsid w:val="00CA2266"/>
    <w:rsid w:val="00D57650"/>
    <w:rsid w:val="00D74167"/>
    <w:rsid w:val="00DD4AA9"/>
    <w:rsid w:val="00E12D2B"/>
    <w:rsid w:val="00E13FDB"/>
    <w:rsid w:val="00E20AB3"/>
    <w:rsid w:val="00E32CDC"/>
    <w:rsid w:val="00E37E37"/>
    <w:rsid w:val="00E77DA7"/>
    <w:rsid w:val="00E8372D"/>
    <w:rsid w:val="00E8427B"/>
    <w:rsid w:val="00EA48D9"/>
    <w:rsid w:val="00F67DCA"/>
    <w:rsid w:val="00F77E5B"/>
    <w:rsid w:val="00FB17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D0F7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A7F"/>
    <w:pPr>
      <w:ind w:left="720"/>
      <w:contextualSpacing/>
    </w:pPr>
  </w:style>
  <w:style w:type="paragraph" w:styleId="Notedebasdepage">
    <w:name w:val="footnote text"/>
    <w:basedOn w:val="Normal"/>
    <w:link w:val="NotedebasdepageCar"/>
    <w:uiPriority w:val="99"/>
    <w:unhideWhenUsed/>
    <w:rsid w:val="00483264"/>
  </w:style>
  <w:style w:type="character" w:customStyle="1" w:styleId="NotedebasdepageCar">
    <w:name w:val="Note de bas de page Car"/>
    <w:basedOn w:val="Policepardfaut"/>
    <w:link w:val="Notedebasdepage"/>
    <w:uiPriority w:val="99"/>
    <w:rsid w:val="00483264"/>
  </w:style>
  <w:style w:type="character" w:styleId="Marquenotebasdepage">
    <w:name w:val="footnote reference"/>
    <w:basedOn w:val="Policepardfaut"/>
    <w:uiPriority w:val="99"/>
    <w:unhideWhenUsed/>
    <w:rsid w:val="00483264"/>
    <w:rPr>
      <w:vertAlign w:val="superscript"/>
    </w:rPr>
  </w:style>
  <w:style w:type="paragraph" w:styleId="Pieddepage">
    <w:name w:val="footer"/>
    <w:basedOn w:val="Normal"/>
    <w:link w:val="PieddepageCar"/>
    <w:uiPriority w:val="99"/>
    <w:unhideWhenUsed/>
    <w:rsid w:val="00483264"/>
    <w:pPr>
      <w:tabs>
        <w:tab w:val="center" w:pos="4536"/>
        <w:tab w:val="right" w:pos="9072"/>
      </w:tabs>
    </w:pPr>
  </w:style>
  <w:style w:type="character" w:customStyle="1" w:styleId="PieddepageCar">
    <w:name w:val="Pied de page Car"/>
    <w:basedOn w:val="Policepardfaut"/>
    <w:link w:val="Pieddepage"/>
    <w:uiPriority w:val="99"/>
    <w:rsid w:val="00483264"/>
  </w:style>
  <w:style w:type="character" w:styleId="Marquedannotation">
    <w:name w:val="annotation reference"/>
    <w:basedOn w:val="Policepardfaut"/>
    <w:uiPriority w:val="99"/>
    <w:semiHidden/>
    <w:unhideWhenUsed/>
    <w:rsid w:val="00340C25"/>
    <w:rPr>
      <w:sz w:val="18"/>
      <w:szCs w:val="18"/>
    </w:rPr>
  </w:style>
  <w:style w:type="paragraph" w:styleId="Commentaire">
    <w:name w:val="annotation text"/>
    <w:basedOn w:val="Normal"/>
    <w:link w:val="CommentaireCar"/>
    <w:uiPriority w:val="99"/>
    <w:semiHidden/>
    <w:unhideWhenUsed/>
    <w:rsid w:val="00340C25"/>
  </w:style>
  <w:style w:type="character" w:customStyle="1" w:styleId="CommentaireCar">
    <w:name w:val="Commentaire Car"/>
    <w:basedOn w:val="Policepardfaut"/>
    <w:link w:val="Commentaire"/>
    <w:uiPriority w:val="99"/>
    <w:semiHidden/>
    <w:rsid w:val="00340C25"/>
  </w:style>
  <w:style w:type="paragraph" w:styleId="Objetducommentaire">
    <w:name w:val="annotation subject"/>
    <w:basedOn w:val="Commentaire"/>
    <w:next w:val="Commentaire"/>
    <w:link w:val="ObjetducommentaireCar"/>
    <w:uiPriority w:val="99"/>
    <w:semiHidden/>
    <w:unhideWhenUsed/>
    <w:rsid w:val="00340C25"/>
    <w:rPr>
      <w:b/>
      <w:bCs/>
      <w:sz w:val="20"/>
      <w:szCs w:val="20"/>
    </w:rPr>
  </w:style>
  <w:style w:type="character" w:customStyle="1" w:styleId="ObjetducommentaireCar">
    <w:name w:val="Objet du commentaire Car"/>
    <w:basedOn w:val="CommentaireCar"/>
    <w:link w:val="Objetducommentaire"/>
    <w:uiPriority w:val="99"/>
    <w:semiHidden/>
    <w:rsid w:val="00340C25"/>
    <w:rPr>
      <w:b/>
      <w:bCs/>
      <w:sz w:val="20"/>
      <w:szCs w:val="20"/>
    </w:rPr>
  </w:style>
  <w:style w:type="paragraph" w:styleId="Textedebulles">
    <w:name w:val="Balloon Text"/>
    <w:basedOn w:val="Normal"/>
    <w:link w:val="TextedebullesCar"/>
    <w:uiPriority w:val="99"/>
    <w:semiHidden/>
    <w:unhideWhenUsed/>
    <w:rsid w:val="00340C2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0C25"/>
    <w:rPr>
      <w:rFonts w:ascii="Lucida Grande" w:hAnsi="Lucida Grande" w:cs="Lucida Grande"/>
      <w:sz w:val="18"/>
      <w:szCs w:val="18"/>
    </w:rPr>
  </w:style>
  <w:style w:type="character" w:customStyle="1" w:styleId="A5">
    <w:name w:val="A5"/>
    <w:uiPriority w:val="99"/>
    <w:rsid w:val="00885BB5"/>
    <w:rPr>
      <w:rFonts w:cs="Garamond"/>
      <w:color w:val="000000"/>
      <w:sz w:val="15"/>
      <w:szCs w:val="15"/>
    </w:rPr>
  </w:style>
  <w:style w:type="character" w:customStyle="1" w:styleId="A2">
    <w:name w:val="A2"/>
    <w:uiPriority w:val="99"/>
    <w:rsid w:val="00885BB5"/>
    <w:rPr>
      <w:rFonts w:cs="Garamond"/>
      <w:color w:val="000000"/>
      <w:sz w:val="26"/>
      <w:szCs w:val="26"/>
    </w:rPr>
  </w:style>
  <w:style w:type="character" w:styleId="Numrodepage">
    <w:name w:val="page number"/>
    <w:basedOn w:val="Policepardfaut"/>
    <w:uiPriority w:val="99"/>
    <w:semiHidden/>
    <w:unhideWhenUsed/>
    <w:rsid w:val="00905513"/>
  </w:style>
  <w:style w:type="paragraph" w:styleId="En-tte">
    <w:name w:val="header"/>
    <w:basedOn w:val="Normal"/>
    <w:link w:val="En-tteCar"/>
    <w:uiPriority w:val="99"/>
    <w:unhideWhenUsed/>
    <w:rsid w:val="00543B77"/>
    <w:pPr>
      <w:tabs>
        <w:tab w:val="center" w:pos="4536"/>
        <w:tab w:val="right" w:pos="9072"/>
      </w:tabs>
    </w:pPr>
  </w:style>
  <w:style w:type="character" w:customStyle="1" w:styleId="En-tteCar">
    <w:name w:val="En-tête Car"/>
    <w:basedOn w:val="Policepardfaut"/>
    <w:link w:val="En-tte"/>
    <w:uiPriority w:val="99"/>
    <w:rsid w:val="00543B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A7F"/>
    <w:pPr>
      <w:ind w:left="720"/>
      <w:contextualSpacing/>
    </w:pPr>
  </w:style>
  <w:style w:type="paragraph" w:styleId="Notedebasdepage">
    <w:name w:val="footnote text"/>
    <w:basedOn w:val="Normal"/>
    <w:link w:val="NotedebasdepageCar"/>
    <w:uiPriority w:val="99"/>
    <w:unhideWhenUsed/>
    <w:rsid w:val="00483264"/>
  </w:style>
  <w:style w:type="character" w:customStyle="1" w:styleId="NotedebasdepageCar">
    <w:name w:val="Note de bas de page Car"/>
    <w:basedOn w:val="Policepardfaut"/>
    <w:link w:val="Notedebasdepage"/>
    <w:uiPriority w:val="99"/>
    <w:rsid w:val="00483264"/>
  </w:style>
  <w:style w:type="character" w:styleId="Marquenotebasdepage">
    <w:name w:val="footnote reference"/>
    <w:basedOn w:val="Policepardfaut"/>
    <w:uiPriority w:val="99"/>
    <w:unhideWhenUsed/>
    <w:rsid w:val="00483264"/>
    <w:rPr>
      <w:vertAlign w:val="superscript"/>
    </w:rPr>
  </w:style>
  <w:style w:type="paragraph" w:styleId="Pieddepage">
    <w:name w:val="footer"/>
    <w:basedOn w:val="Normal"/>
    <w:link w:val="PieddepageCar"/>
    <w:uiPriority w:val="99"/>
    <w:unhideWhenUsed/>
    <w:rsid w:val="00483264"/>
    <w:pPr>
      <w:tabs>
        <w:tab w:val="center" w:pos="4536"/>
        <w:tab w:val="right" w:pos="9072"/>
      </w:tabs>
    </w:pPr>
  </w:style>
  <w:style w:type="character" w:customStyle="1" w:styleId="PieddepageCar">
    <w:name w:val="Pied de page Car"/>
    <w:basedOn w:val="Policepardfaut"/>
    <w:link w:val="Pieddepage"/>
    <w:uiPriority w:val="99"/>
    <w:rsid w:val="00483264"/>
  </w:style>
  <w:style w:type="character" w:styleId="Marquedannotation">
    <w:name w:val="annotation reference"/>
    <w:basedOn w:val="Policepardfaut"/>
    <w:uiPriority w:val="99"/>
    <w:semiHidden/>
    <w:unhideWhenUsed/>
    <w:rsid w:val="00340C25"/>
    <w:rPr>
      <w:sz w:val="18"/>
      <w:szCs w:val="18"/>
    </w:rPr>
  </w:style>
  <w:style w:type="paragraph" w:styleId="Commentaire">
    <w:name w:val="annotation text"/>
    <w:basedOn w:val="Normal"/>
    <w:link w:val="CommentaireCar"/>
    <w:uiPriority w:val="99"/>
    <w:semiHidden/>
    <w:unhideWhenUsed/>
    <w:rsid w:val="00340C25"/>
  </w:style>
  <w:style w:type="character" w:customStyle="1" w:styleId="CommentaireCar">
    <w:name w:val="Commentaire Car"/>
    <w:basedOn w:val="Policepardfaut"/>
    <w:link w:val="Commentaire"/>
    <w:uiPriority w:val="99"/>
    <w:semiHidden/>
    <w:rsid w:val="00340C25"/>
  </w:style>
  <w:style w:type="paragraph" w:styleId="Objetducommentaire">
    <w:name w:val="annotation subject"/>
    <w:basedOn w:val="Commentaire"/>
    <w:next w:val="Commentaire"/>
    <w:link w:val="ObjetducommentaireCar"/>
    <w:uiPriority w:val="99"/>
    <w:semiHidden/>
    <w:unhideWhenUsed/>
    <w:rsid w:val="00340C25"/>
    <w:rPr>
      <w:b/>
      <w:bCs/>
      <w:sz w:val="20"/>
      <w:szCs w:val="20"/>
    </w:rPr>
  </w:style>
  <w:style w:type="character" w:customStyle="1" w:styleId="ObjetducommentaireCar">
    <w:name w:val="Objet du commentaire Car"/>
    <w:basedOn w:val="CommentaireCar"/>
    <w:link w:val="Objetducommentaire"/>
    <w:uiPriority w:val="99"/>
    <w:semiHidden/>
    <w:rsid w:val="00340C25"/>
    <w:rPr>
      <w:b/>
      <w:bCs/>
      <w:sz w:val="20"/>
      <w:szCs w:val="20"/>
    </w:rPr>
  </w:style>
  <w:style w:type="paragraph" w:styleId="Textedebulles">
    <w:name w:val="Balloon Text"/>
    <w:basedOn w:val="Normal"/>
    <w:link w:val="TextedebullesCar"/>
    <w:uiPriority w:val="99"/>
    <w:semiHidden/>
    <w:unhideWhenUsed/>
    <w:rsid w:val="00340C2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0C25"/>
    <w:rPr>
      <w:rFonts w:ascii="Lucida Grande" w:hAnsi="Lucida Grande" w:cs="Lucida Grande"/>
      <w:sz w:val="18"/>
      <w:szCs w:val="18"/>
    </w:rPr>
  </w:style>
  <w:style w:type="character" w:customStyle="1" w:styleId="A5">
    <w:name w:val="A5"/>
    <w:uiPriority w:val="99"/>
    <w:rsid w:val="00885BB5"/>
    <w:rPr>
      <w:rFonts w:cs="Garamond"/>
      <w:color w:val="000000"/>
      <w:sz w:val="15"/>
      <w:szCs w:val="15"/>
    </w:rPr>
  </w:style>
  <w:style w:type="character" w:customStyle="1" w:styleId="A2">
    <w:name w:val="A2"/>
    <w:uiPriority w:val="99"/>
    <w:rsid w:val="00885BB5"/>
    <w:rPr>
      <w:rFonts w:cs="Garamond"/>
      <w:color w:val="000000"/>
      <w:sz w:val="26"/>
      <w:szCs w:val="26"/>
    </w:rPr>
  </w:style>
  <w:style w:type="character" w:styleId="Numrodepage">
    <w:name w:val="page number"/>
    <w:basedOn w:val="Policepardfaut"/>
    <w:uiPriority w:val="99"/>
    <w:semiHidden/>
    <w:unhideWhenUsed/>
    <w:rsid w:val="00905513"/>
  </w:style>
  <w:style w:type="paragraph" w:styleId="En-tte">
    <w:name w:val="header"/>
    <w:basedOn w:val="Normal"/>
    <w:link w:val="En-tteCar"/>
    <w:uiPriority w:val="99"/>
    <w:unhideWhenUsed/>
    <w:rsid w:val="00543B77"/>
    <w:pPr>
      <w:tabs>
        <w:tab w:val="center" w:pos="4536"/>
        <w:tab w:val="right" w:pos="9072"/>
      </w:tabs>
    </w:pPr>
  </w:style>
  <w:style w:type="character" w:customStyle="1" w:styleId="En-tteCar">
    <w:name w:val="En-tête Car"/>
    <w:basedOn w:val="Policepardfaut"/>
    <w:link w:val="En-tte"/>
    <w:uiPriority w:val="99"/>
    <w:rsid w:val="0054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4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1360</Words>
  <Characters>7483</Characters>
  <Application>Microsoft Macintosh Word</Application>
  <DocSecurity>0</DocSecurity>
  <Lines>62</Lines>
  <Paragraphs>17</Paragraphs>
  <ScaleCrop>false</ScaleCrop>
  <Company>ICP</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oranne de mautort</dc:creator>
  <cp:keywords/>
  <dc:description/>
  <cp:lastModifiedBy>oranne de mautort</cp:lastModifiedBy>
  <cp:revision>50</cp:revision>
  <dcterms:created xsi:type="dcterms:W3CDTF">2023-09-26T14:35:00Z</dcterms:created>
  <dcterms:modified xsi:type="dcterms:W3CDTF">2024-05-23T07:58:00Z</dcterms:modified>
</cp:coreProperties>
</file>